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BDA" w:rsidRPr="004D0BDA" w:rsidRDefault="004D0BDA" w:rsidP="004D0BDA">
      <w:pPr>
        <w:pStyle w:val="Cabealho1"/>
        <w:spacing w:before="0"/>
        <w:jc w:val="left"/>
        <w:rPr>
          <w:sz w:val="36"/>
        </w:rPr>
      </w:pPr>
      <w:bookmarkStart w:id="0" w:name="_Ref355258662"/>
      <w:bookmarkStart w:id="1" w:name="_Ref355258726"/>
      <w:bookmarkStart w:id="2" w:name="_Toc357409344"/>
      <w:bookmarkStart w:id="3" w:name="_Toc401576545"/>
      <w:bookmarkStart w:id="4" w:name="_GoBack"/>
      <w:bookmarkEnd w:id="4"/>
      <w:r w:rsidRPr="004D0BDA">
        <w:rPr>
          <w:sz w:val="36"/>
        </w:rPr>
        <w:t>Metodologia</w:t>
      </w:r>
      <w:bookmarkEnd w:id="0"/>
      <w:bookmarkEnd w:id="1"/>
      <w:bookmarkEnd w:id="2"/>
      <w:bookmarkEnd w:id="3"/>
    </w:p>
    <w:p w:rsidR="004D0BDA" w:rsidRPr="004D0BDA" w:rsidRDefault="004D0BDA" w:rsidP="004D0BDA">
      <w:pPr>
        <w:rPr>
          <w:sz w:val="16"/>
        </w:rPr>
      </w:pPr>
      <w:bookmarkStart w:id="5" w:name="_Toc357409345"/>
    </w:p>
    <w:p w:rsidR="004D0BDA" w:rsidRPr="004D0BDA" w:rsidRDefault="004D0BDA" w:rsidP="004D0BDA">
      <w:pPr>
        <w:pStyle w:val="Cabealho2"/>
        <w:ind w:left="720"/>
      </w:pPr>
      <w:bookmarkStart w:id="6" w:name="_Toc401576546"/>
      <w:r w:rsidRPr="004D0BDA">
        <w:t>Enquadramento Metodológico</w:t>
      </w:r>
      <w:bookmarkEnd w:id="5"/>
      <w:bookmarkEnd w:id="6"/>
    </w:p>
    <w:p w:rsidR="004D0BDA" w:rsidRPr="004D0BDA" w:rsidRDefault="004D0BDA" w:rsidP="004D0BDA">
      <w:pPr>
        <w:rPr>
          <w:color w:val="FF0000"/>
          <w:sz w:val="12"/>
        </w:rPr>
      </w:pPr>
    </w:p>
    <w:p w:rsidR="004D0BDA" w:rsidRPr="004D0BDA" w:rsidRDefault="004D0BDA" w:rsidP="004D0BDA">
      <w:pPr>
        <w:ind w:firstLine="720"/>
      </w:pPr>
      <w:r>
        <w:t>A informação publicada</w:t>
      </w:r>
      <w:r w:rsidRPr="004D0BDA">
        <w:t xml:space="preserve"> </w:t>
      </w:r>
      <w:r w:rsidR="00FD4EDA">
        <w:t>no</w:t>
      </w:r>
      <w:r w:rsidR="00295F3D">
        <w:t xml:space="preserve"> </w:t>
      </w:r>
      <w:proofErr w:type="gramStart"/>
      <w:r w:rsidR="00295F3D" w:rsidRPr="00FD4EDA">
        <w:rPr>
          <w:i/>
        </w:rPr>
        <w:t>site</w:t>
      </w:r>
      <w:proofErr w:type="gramEnd"/>
      <w:r w:rsidR="00295F3D">
        <w:t xml:space="preserve"> </w:t>
      </w:r>
      <w:r w:rsidR="00FD4EDA">
        <w:t>institucional d</w:t>
      </w:r>
      <w:r w:rsidRPr="004D0BDA">
        <w:t xml:space="preserve">a Associação Angolana de Bancos </w:t>
      </w:r>
      <w:r>
        <w:t>(</w:t>
      </w:r>
      <w:r w:rsidRPr="004D0BDA">
        <w:t>ABANC</w:t>
      </w:r>
      <w:r>
        <w:t>)</w:t>
      </w:r>
      <w:r w:rsidRPr="004D0BDA">
        <w:t xml:space="preserve"> sobre o sector bancário angolano </w:t>
      </w:r>
      <w:r>
        <w:t>tem</w:t>
      </w:r>
      <w:r w:rsidRPr="004D0BDA">
        <w:t xml:space="preserve"> periodicidade anual, com datas de referência a 31 de Dezembro de cada ano</w:t>
      </w:r>
      <w:r>
        <w:t>.</w:t>
      </w:r>
    </w:p>
    <w:p w:rsidR="004D0BDA" w:rsidRPr="004D0BDA" w:rsidRDefault="00FD4EDA" w:rsidP="004D0BDA">
      <w:pPr>
        <w:ind w:firstLine="720"/>
      </w:pPr>
      <w:r>
        <w:t>A informação contida</w:t>
      </w:r>
      <w:r w:rsidR="00295F3D">
        <w:t xml:space="preserve"> na secção “Estudos e Estatísticas” </w:t>
      </w:r>
      <w:r>
        <w:t xml:space="preserve">deste </w:t>
      </w:r>
      <w:proofErr w:type="gramStart"/>
      <w:r w:rsidRPr="00FD4EDA">
        <w:rPr>
          <w:i/>
        </w:rPr>
        <w:t>site</w:t>
      </w:r>
      <w:proofErr w:type="gramEnd"/>
      <w:r>
        <w:t xml:space="preserve"> </w:t>
      </w:r>
      <w:r w:rsidR="004D0BDA" w:rsidRPr="004D0BDA">
        <w:t>permite</w:t>
      </w:r>
      <w:r>
        <w:t xml:space="preserve"> </w:t>
      </w:r>
      <w:r w:rsidR="004D0BDA" w:rsidRPr="004D0BDA">
        <w:t xml:space="preserve">uma comparação </w:t>
      </w:r>
      <w:r w:rsidR="004D0BDA">
        <w:t>por série temporal</w:t>
      </w:r>
      <w:r w:rsidR="004D0BDA" w:rsidRPr="004D0BDA">
        <w:t xml:space="preserve"> do desempenho das operações bancárias e uma análise económica e financeira do sector, em termos globais, com o objectivo de melhorar o conhecimento da exploração da actividade bancária.</w:t>
      </w:r>
    </w:p>
    <w:p w:rsidR="004D0BDA" w:rsidRPr="004D0BDA" w:rsidRDefault="004D0BDA" w:rsidP="004D0BDA">
      <w:pPr>
        <w:ind w:firstLine="720"/>
      </w:pPr>
      <w:r w:rsidRPr="004D0BDA">
        <w:t xml:space="preserve">A informação presente neste </w:t>
      </w:r>
      <w:proofErr w:type="gramStart"/>
      <w:r w:rsidRPr="004D0BDA">
        <w:rPr>
          <w:i/>
        </w:rPr>
        <w:t>site</w:t>
      </w:r>
      <w:proofErr w:type="gramEnd"/>
      <w:r w:rsidRPr="004D0BDA">
        <w:t xml:space="preserve"> foi recolhida pela ABANC directamente das instituições financeiras, do BNA e outras fontes relevantes</w:t>
      </w:r>
      <w:r>
        <w:t>. A prioridade ao elaborar esta secção de estatísticas</w:t>
      </w:r>
      <w:r w:rsidRPr="004D0BDA">
        <w:t xml:space="preserve"> consiste em utilizar fontes oficiais que publiquem informação fidedigna sobre a evolução do sector, nas suas variadas vertentes. </w:t>
      </w:r>
    </w:p>
    <w:p w:rsidR="004D0BDA" w:rsidRPr="004D0BDA" w:rsidRDefault="004D0BDA" w:rsidP="004D0BDA">
      <w:pPr>
        <w:ind w:firstLine="720"/>
      </w:pPr>
      <w:r w:rsidRPr="004D0BDA">
        <w:t>Os dados obtidos foram inseridos na base de dados da ABANC, mantendo sempre que possível, a semelhança com a fonte de origem. Estes valores correspondem ao melhor valor obtido para cada período, tendo sido cuidadosamente compilados e verificados.</w:t>
      </w:r>
    </w:p>
    <w:p w:rsidR="004D0BDA" w:rsidRPr="004D0BDA" w:rsidRDefault="004D0BDA" w:rsidP="004D0BDA">
      <w:pPr>
        <w:ind w:firstLine="720"/>
      </w:pPr>
      <w:r w:rsidRPr="004D0BDA">
        <w:t>Há que realçar que o balanço agregado da banca comercial apresentado aqui resulta do somatório simples dos balanços individuais dos bancos comerciais.</w:t>
      </w:r>
    </w:p>
    <w:p w:rsidR="00FD4EDA" w:rsidRPr="004D0BDA" w:rsidRDefault="00FD4EDA" w:rsidP="00FD4EDA">
      <w:pPr>
        <w:ind w:firstLine="720"/>
      </w:pPr>
      <w:bookmarkStart w:id="7" w:name="_Toc357409346"/>
      <w:bookmarkStart w:id="8" w:name="_Toc401576547"/>
      <w:r>
        <w:t xml:space="preserve">Na análise agregada por dimensão, </w:t>
      </w:r>
      <w:r>
        <w:t>focamo-nos na</w:t>
      </w:r>
      <w:r>
        <w:t>s</w:t>
      </w:r>
      <w:r>
        <w:t xml:space="preserve"> instituições financeiras em actividade</w:t>
      </w:r>
      <w:r>
        <w:t xml:space="preserve"> para cada período</w:t>
      </w:r>
      <w:r>
        <w:t xml:space="preserve">, sendo </w:t>
      </w:r>
      <w:r>
        <w:t>estas</w:t>
      </w:r>
      <w:r>
        <w:t xml:space="preserve"> agrupadas segundo </w:t>
      </w:r>
      <w:r w:rsidRPr="005152C4">
        <w:t>a sua quota de mercado de activos</w:t>
      </w:r>
      <w:r>
        <w:rPr>
          <w:rStyle w:val="Refdenotaderodap"/>
        </w:rPr>
        <w:footnoteReference w:id="1"/>
      </w:r>
      <w:r w:rsidRPr="005152C4">
        <w:t xml:space="preserve">. </w:t>
      </w:r>
      <w:r w:rsidRPr="004D0BDA">
        <w:t xml:space="preserve">Para garantir a comparabilidade dos dados </w:t>
      </w:r>
      <w:r>
        <w:t>e</w:t>
      </w:r>
      <w:r>
        <w:t xml:space="preserve"> melhor análise evolutiva no período</w:t>
      </w:r>
      <w:r w:rsidRPr="004D0BDA">
        <w:t>, os segmentos têm a mesma constituição para todos os anos do período em análise, ou seja, o agrupamento das instituições nos diversos segmentos para o período 2009-2013 foi feito segundo a distribuição dos activos em 2013, de modo a que a constituição dos segmentos fosse uniforme para todo o período.</w:t>
      </w:r>
    </w:p>
    <w:p w:rsidR="00FD4EDA" w:rsidRDefault="00FD4EDA" w:rsidP="00FD4EDA">
      <w:pPr>
        <w:ind w:firstLine="720"/>
      </w:pPr>
      <w:r>
        <w:t>O Gráfico 1 mostra</w:t>
      </w:r>
      <w:r w:rsidRPr="005152C4">
        <w:t xml:space="preserve"> </w:t>
      </w:r>
      <w:r>
        <w:t>a</w:t>
      </w:r>
      <w:r w:rsidRPr="005152C4">
        <w:t xml:space="preserve"> distribuição do activo</w:t>
      </w:r>
      <w:r>
        <w:t xml:space="preserve"> por dimensão das instituições financeiras para 2013</w:t>
      </w:r>
      <w:r w:rsidRPr="005152C4">
        <w:t xml:space="preserve">, em que somente </w:t>
      </w:r>
      <w:r>
        <w:t>seis</w:t>
      </w:r>
      <w:r w:rsidRPr="005152C4">
        <w:t xml:space="preserve"> instituições apresentam um activo super</w:t>
      </w:r>
      <w:r>
        <w:t xml:space="preserve">ior à média </w:t>
      </w:r>
      <w:r w:rsidRPr="00052D43">
        <w:t xml:space="preserve">de </w:t>
      </w:r>
      <w:r>
        <w:t>315</w:t>
      </w:r>
      <w:r w:rsidRPr="00052D43">
        <w:t xml:space="preserve"> </w:t>
      </w:r>
      <w:r>
        <w:t>mil</w:t>
      </w:r>
      <w:r w:rsidRPr="005152C4">
        <w:t xml:space="preserve"> milhões de Kwanzas</w:t>
      </w:r>
      <w:r>
        <w:t xml:space="preserve"> em 2013</w:t>
      </w:r>
      <w:r>
        <w:rPr>
          <w:rStyle w:val="Refdenotaderodap"/>
        </w:rPr>
        <w:footnoteReference w:id="2"/>
      </w:r>
      <w:r w:rsidRPr="005152C4">
        <w:t>.</w:t>
      </w:r>
    </w:p>
    <w:p w:rsidR="00FD4EDA" w:rsidRDefault="00FD4EDA" w:rsidP="00FD4EDA">
      <w:pPr>
        <w:ind w:firstLine="720"/>
        <w:sectPr w:rsidR="00FD4EDA" w:rsidSect="00545827">
          <w:pgSz w:w="11906" w:h="16838"/>
          <w:pgMar w:top="993" w:right="1440" w:bottom="1440" w:left="1440" w:header="708" w:footer="708" w:gutter="0"/>
          <w:cols w:space="708"/>
          <w:docGrid w:linePitch="360"/>
        </w:sectPr>
      </w:pPr>
    </w:p>
    <w:p w:rsidR="00FD4EDA" w:rsidRPr="005152C4" w:rsidRDefault="00FD4EDA" w:rsidP="00FD4EDA">
      <w:pPr>
        <w:pStyle w:val="Legenda"/>
      </w:pPr>
      <w:bookmarkStart w:id="9" w:name="_Ref355263844"/>
      <w:bookmarkStart w:id="10" w:name="_Ref355263789"/>
      <w:bookmarkStart w:id="11" w:name="_Ref355263840"/>
      <w:bookmarkStart w:id="12" w:name="_Toc357408819"/>
      <w:bookmarkStart w:id="13" w:name="_Toc401576614"/>
      <w:r w:rsidRPr="005152C4">
        <w:lastRenderedPageBreak/>
        <w:t xml:space="preserve">Gráfico </w:t>
      </w:r>
      <w:r>
        <w:fldChar w:fldCharType="begin"/>
      </w:r>
      <w:r>
        <w:instrText xml:space="preserve"> SEQ Gráfico \* ARABIC </w:instrText>
      </w:r>
      <w:r>
        <w:fldChar w:fldCharType="separate"/>
      </w:r>
      <w:r>
        <w:t>1</w:t>
      </w:r>
      <w:r>
        <w:fldChar w:fldCharType="end"/>
      </w:r>
      <w:bookmarkEnd w:id="9"/>
      <w:r w:rsidRPr="005152C4">
        <w:t xml:space="preserve"> – Distribuição do Activo por Dimensão das Instituiçõ</w:t>
      </w:r>
      <w:r>
        <w:t>es Financeiras em 2013</w:t>
      </w:r>
      <w:r w:rsidRPr="005152C4">
        <w:rPr>
          <w:rStyle w:val="Refdenotaderodap"/>
        </w:rPr>
        <w:footnoteReference w:id="3"/>
      </w:r>
      <w:bookmarkEnd w:id="10"/>
      <w:bookmarkEnd w:id="11"/>
      <w:bookmarkEnd w:id="12"/>
      <w:bookmarkEnd w:id="13"/>
    </w:p>
    <w:p w:rsidR="00FD4EDA" w:rsidRDefault="00FD4EDA" w:rsidP="00FD4EDA">
      <w:pPr>
        <w:rPr>
          <w:rStyle w:val="FontesChar"/>
        </w:rPr>
      </w:pPr>
      <w:r>
        <w:rPr>
          <w:noProof/>
          <w:sz w:val="18"/>
        </w:rPr>
        <mc:AlternateContent>
          <mc:Choice Requires="wps">
            <w:drawing>
              <wp:anchor distT="0" distB="0" distL="114300" distR="114300" simplePos="0" relativeHeight="251659264" behindDoc="0" locked="0" layoutInCell="1" allowOverlap="1" wp14:anchorId="7203364C" wp14:editId="0046E964">
                <wp:simplePos x="0" y="0"/>
                <wp:positionH relativeFrom="column">
                  <wp:posOffset>795020</wp:posOffset>
                </wp:positionH>
                <wp:positionV relativeFrom="paragraph">
                  <wp:posOffset>2657797</wp:posOffset>
                </wp:positionV>
                <wp:extent cx="8244000" cy="0"/>
                <wp:effectExtent l="0" t="0" r="0" b="19050"/>
                <wp:wrapNone/>
                <wp:docPr id="274" name="Conexão recta 274"/>
                <wp:cNvGraphicFramePr/>
                <a:graphic xmlns:a="http://schemas.openxmlformats.org/drawingml/2006/main">
                  <a:graphicData uri="http://schemas.microsoft.com/office/word/2010/wordprocessingShape">
                    <wps:wsp>
                      <wps:cNvCnPr/>
                      <wps:spPr>
                        <a:xfrm>
                          <a:off x="0" y="0"/>
                          <a:ext cx="8244000" cy="0"/>
                        </a:xfrm>
                        <a:prstGeom prst="line">
                          <a:avLst/>
                        </a:prstGeom>
                        <a:ln>
                          <a:solidFill>
                            <a:schemeClr val="tx1">
                              <a:lumMod val="95000"/>
                              <a:lumOff val="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xão recta 27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6pt,209.3pt" to="711.75pt,2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" strokecolor="#0d0d0d [3069]">
                <v:stroke dashstyle="dash"/>
              </v:line>
            </w:pict>
          </mc:Fallback>
        </mc:AlternateContent>
      </w:r>
      <w:r>
        <w:rPr>
          <w:noProof/>
        </w:rPr>
        <w:drawing>
          <wp:inline distT="0" distB="0" distL="0" distR="0" wp14:anchorId="3B744478" wp14:editId="767390B3">
            <wp:extent cx="9179626" cy="4108863"/>
            <wp:effectExtent l="0" t="0" r="2540" b="635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D4EDA" w:rsidRPr="005152C4" w:rsidRDefault="00FD4EDA" w:rsidP="00FD4EDA">
      <w:r w:rsidRPr="00FC6290">
        <w:rPr>
          <w:rStyle w:val="FontesChar"/>
        </w:rPr>
        <w:t xml:space="preserve">Fonte: </w:t>
      </w:r>
      <w:proofErr w:type="spellStart"/>
      <w:r>
        <w:rPr>
          <w:rStyle w:val="FontesChar"/>
        </w:rPr>
        <w:t>IFs</w:t>
      </w:r>
      <w:proofErr w:type="spellEnd"/>
      <w:r>
        <w:rPr>
          <w:rStyle w:val="FontesChar"/>
        </w:rPr>
        <w:t>; Relatórios</w:t>
      </w:r>
      <w:r w:rsidRPr="00FC6290">
        <w:rPr>
          <w:rStyle w:val="FontesChar"/>
        </w:rPr>
        <w:t xml:space="preserve"> e Contas</w:t>
      </w:r>
    </w:p>
    <w:p w:rsidR="00FD4EDA" w:rsidRDefault="00FD4EDA" w:rsidP="00FD4EDA">
      <w:pPr>
        <w:pStyle w:val="PargrafodaLista"/>
        <w:numPr>
          <w:ilvl w:val="0"/>
          <w:numId w:val="2"/>
        </w:numPr>
        <w:sectPr w:rsidR="00FD4EDA" w:rsidSect="00FD4EDA">
          <w:pgSz w:w="16838" w:h="11906" w:orient="landscape"/>
          <w:pgMar w:top="1440" w:right="993" w:bottom="1440" w:left="1440" w:header="708" w:footer="708" w:gutter="0"/>
          <w:cols w:space="708"/>
          <w:docGrid w:linePitch="360"/>
        </w:sectPr>
      </w:pPr>
    </w:p>
    <w:p w:rsidR="00FD4EDA" w:rsidRDefault="00FD4EDA" w:rsidP="00FD4EDA">
      <w:pPr>
        <w:ind w:firstLine="720"/>
      </w:pPr>
      <w:r>
        <w:lastRenderedPageBreak/>
        <w:t xml:space="preserve">Organizando a amostra por segmentos de acordo com a sua quota de activo, temos um sistema bancário formado </w:t>
      </w:r>
      <w:proofErr w:type="gramStart"/>
      <w:r>
        <w:t>por</w:t>
      </w:r>
      <w:proofErr w:type="gramEnd"/>
      <w:r>
        <w:t>:</w:t>
      </w:r>
    </w:p>
    <w:p w:rsidR="00FD4EDA" w:rsidRDefault="00FD4EDA" w:rsidP="00FD4EDA">
      <w:pPr>
        <w:pStyle w:val="PargrafodaLista"/>
        <w:numPr>
          <w:ilvl w:val="0"/>
          <w:numId w:val="5"/>
        </w:numPr>
      </w:pPr>
      <w:r>
        <w:t>Cinco instituições</w:t>
      </w:r>
      <w:r w:rsidRPr="005152C4">
        <w:t xml:space="preserve"> de grande dimensã</w:t>
      </w:r>
      <w:r>
        <w:t>o, que representam</w:t>
      </w:r>
      <w:r w:rsidRPr="00052D43">
        <w:t xml:space="preserve"> 7</w:t>
      </w:r>
      <w:r>
        <w:t>1</w:t>
      </w:r>
      <w:r w:rsidRPr="00052D43">
        <w:t>,</w:t>
      </w:r>
      <w:r>
        <w:t>8% do total do activo agregado, o equivalente a 4.754</w:t>
      </w:r>
      <w:r w:rsidRPr="00052D43">
        <w:t xml:space="preserve"> </w:t>
      </w:r>
      <w:r>
        <w:t>mil</w:t>
      </w:r>
      <w:r w:rsidRPr="005152C4">
        <w:t xml:space="preserve"> milhões </w:t>
      </w:r>
      <w:r>
        <w:t>de Kwanzas;</w:t>
      </w:r>
    </w:p>
    <w:p w:rsidR="00FD4EDA" w:rsidRDefault="00FD4EDA" w:rsidP="00FD4EDA">
      <w:pPr>
        <w:pStyle w:val="PargrafodaLista"/>
        <w:numPr>
          <w:ilvl w:val="0"/>
          <w:numId w:val="5"/>
        </w:numPr>
      </w:pPr>
      <w:r>
        <w:t>Nove instituições de média dimensão, que representam</w:t>
      </w:r>
      <w:r w:rsidRPr="0046767D">
        <w:rPr>
          <w:color w:val="FF0000"/>
        </w:rPr>
        <w:t xml:space="preserve"> </w:t>
      </w:r>
      <w:r w:rsidRPr="00052D43">
        <w:t>2</w:t>
      </w:r>
      <w:r>
        <w:t>6</w:t>
      </w:r>
      <w:r w:rsidRPr="00052D43">
        <w:t>,</w:t>
      </w:r>
      <w:r>
        <w:t>0% d</w:t>
      </w:r>
      <w:r w:rsidRPr="005152C4">
        <w:t xml:space="preserve">o total do activo agregado, </w:t>
      </w:r>
      <w:r>
        <w:t>o que</w:t>
      </w:r>
      <w:r w:rsidRPr="005152C4">
        <w:t xml:space="preserve"> </w:t>
      </w:r>
      <w:r w:rsidRPr="00052D43">
        <w:t xml:space="preserve">representa </w:t>
      </w:r>
      <w:r>
        <w:t>1.720</w:t>
      </w:r>
      <w:r w:rsidRPr="00052D43">
        <w:t xml:space="preserve"> </w:t>
      </w:r>
      <w:r w:rsidRPr="005152C4">
        <w:t>mil milhões de Kwanzas</w:t>
      </w:r>
      <w:r>
        <w:t>;</w:t>
      </w:r>
    </w:p>
    <w:p w:rsidR="00FD4EDA" w:rsidRDefault="00FD4EDA" w:rsidP="00FD4EDA">
      <w:pPr>
        <w:pStyle w:val="PargrafodaLista"/>
        <w:numPr>
          <w:ilvl w:val="0"/>
          <w:numId w:val="5"/>
        </w:numPr>
      </w:pPr>
      <w:r>
        <w:t xml:space="preserve">Sete instituições </w:t>
      </w:r>
      <w:r w:rsidRPr="005152C4">
        <w:t xml:space="preserve">de pequena </w:t>
      </w:r>
      <w:r>
        <w:t>dimensão, que representam 2</w:t>
      </w:r>
      <w:r w:rsidRPr="00052D43">
        <w:t>,</w:t>
      </w:r>
      <w:r>
        <w:t>2% do total de activos, o equivalente a 146 mil milhões de Kwanzas</w:t>
      </w:r>
      <w:r w:rsidRPr="005152C4">
        <w:t xml:space="preserve">. </w:t>
      </w:r>
    </w:p>
    <w:p w:rsidR="00FD4EDA" w:rsidRDefault="00FD4EDA" w:rsidP="00FD4EDA">
      <w:pPr>
        <w:pStyle w:val="Cabealho2"/>
        <w:ind w:left="720"/>
      </w:pPr>
    </w:p>
    <w:p w:rsidR="00FD4EDA" w:rsidRPr="004D0BDA" w:rsidRDefault="00FD4EDA" w:rsidP="00FD4EDA">
      <w:pPr>
        <w:pStyle w:val="Cabealho2"/>
        <w:ind w:left="720"/>
      </w:pPr>
      <w:r w:rsidRPr="004D0BDA">
        <w:t>Limitações</w:t>
      </w:r>
    </w:p>
    <w:p w:rsidR="00FD4EDA" w:rsidRPr="004D0BDA" w:rsidRDefault="00FD4EDA" w:rsidP="00FD4EDA">
      <w:pPr>
        <w:rPr>
          <w:color w:val="FF0000"/>
          <w:sz w:val="12"/>
        </w:rPr>
      </w:pPr>
    </w:p>
    <w:p w:rsidR="00FD4EDA" w:rsidRPr="004D0BDA" w:rsidRDefault="00FD4EDA" w:rsidP="00FD4EDA">
      <w:pPr>
        <w:rPr>
          <w:b/>
          <w:sz w:val="24"/>
        </w:rPr>
      </w:pPr>
      <w:r w:rsidRPr="004D0BDA">
        <w:rPr>
          <w:b/>
          <w:sz w:val="24"/>
        </w:rPr>
        <w:t>Acesso à Informação</w:t>
      </w:r>
    </w:p>
    <w:p w:rsidR="00FD4EDA" w:rsidRPr="004D0BDA" w:rsidRDefault="00FD4EDA" w:rsidP="00FD4EDA">
      <w:pPr>
        <w:ind w:firstLine="720"/>
      </w:pPr>
      <w:r w:rsidRPr="004D0BDA">
        <w:t xml:space="preserve">Como não existe uma estrutura uniforme, que defina o grau de detalhe e discriminação dos dados publicados pelas instituições financeiras, a ABANC criou ficheiros que detalham o nível de desagregação pretendida, de modo a manter a comparabilidade entre os dados nos seus associados. Um dos maiores desafios consistiu na recolha destes dados e na obtenção de todos os elementos requisitados, uma vez que nem todos os associados responderam atempadamente ao pedido de informação. </w:t>
      </w:r>
    </w:p>
    <w:p w:rsidR="00FD4EDA" w:rsidRPr="004D0BDA" w:rsidRDefault="00FD4EDA" w:rsidP="00FD4EDA">
      <w:pPr>
        <w:ind w:firstLine="720"/>
      </w:pPr>
      <w:r w:rsidRPr="004D0BDA">
        <w:t>A segunda limitação está relacionada com a indisponibilidade de informação desagregada para um estudo do sector mais detalhado e sob diferentes perspectivas. Como se observou no relatório, ainda existe falta de informação para créditos (vincendo e vencido) e depósitos (à ordem e a prazo) desagregados por instrumentos, sectores (sector público, empresas e particulares), moeda e província.</w:t>
      </w:r>
    </w:p>
    <w:p w:rsidR="00FD4EDA" w:rsidRPr="004D0BDA" w:rsidRDefault="00FD4EDA" w:rsidP="00FD4EDA">
      <w:pPr>
        <w:rPr>
          <w:b/>
        </w:rPr>
      </w:pPr>
      <w:r w:rsidRPr="004D0BDA">
        <w:rPr>
          <w:b/>
        </w:rPr>
        <w:t>Crédito por Moeda</w:t>
      </w:r>
    </w:p>
    <w:p w:rsidR="00FD4EDA" w:rsidRPr="004D0BDA" w:rsidRDefault="00FD4EDA" w:rsidP="00FD4EDA">
      <w:pPr>
        <w:ind w:firstLine="708"/>
      </w:pPr>
      <w:r w:rsidRPr="004D0BDA">
        <w:t>Esta desagregação foi feita com base no indicador C</w:t>
      </w:r>
      <w:r w:rsidRPr="004D0BDA">
        <w:rPr>
          <w:i/>
        </w:rPr>
        <w:t>rédito ME/Crédito Total</w:t>
      </w:r>
      <w:r w:rsidRPr="004D0BDA">
        <w:t xml:space="preserve"> calculado pelo BNA, apresentado no quadro dos indicadores do sistema financeiro angolano, para inferir a proporção do crédito por moedas. Não há informação sobre a base de cálculo deste indicador.</w:t>
      </w:r>
    </w:p>
    <w:p w:rsidR="00FD4EDA" w:rsidRPr="004D0BDA" w:rsidRDefault="00FD4EDA" w:rsidP="00FD4EDA">
      <w:pPr>
        <w:rPr>
          <w:b/>
        </w:rPr>
      </w:pPr>
      <w:r w:rsidRPr="004D0BDA">
        <w:rPr>
          <w:b/>
        </w:rPr>
        <w:t>Decomposição do Crédito</w:t>
      </w:r>
    </w:p>
    <w:p w:rsidR="00FD4EDA" w:rsidRPr="004D0BDA" w:rsidRDefault="00FD4EDA" w:rsidP="00FD4EDA">
      <w:r w:rsidRPr="004D0BDA">
        <w:tab/>
        <w:t>Esta desagregação foi calculada com base no indicador C</w:t>
      </w:r>
      <w:r w:rsidRPr="004D0BDA">
        <w:rPr>
          <w:i/>
        </w:rPr>
        <w:t>rédito Vencido/Crédito Total</w:t>
      </w:r>
      <w:r w:rsidRPr="004D0BDA">
        <w:t xml:space="preserve"> apresentado pelo DSI (</w:t>
      </w:r>
      <w:proofErr w:type="spellStart"/>
      <w:r w:rsidRPr="004D0BDA">
        <w:t>ex-DSB</w:t>
      </w:r>
      <w:proofErr w:type="spellEnd"/>
      <w:r w:rsidRPr="004D0BDA">
        <w:t>) do BNA no quadro dos indicadores do sistema financeiro para inferir a proporção do crédito vincendo e vencido sobre o crédito bruto. Uma vez que nem todos bancos disponibilizam o valor das provisões para crédito de liquidação duvidosa, essa rúbrica foi calculada a partir da proporção das provisões para crédito sobre o crédito total, usando a amostra com os bancos que apresentam essa informação.</w:t>
      </w:r>
    </w:p>
    <w:p w:rsidR="00FD4EDA" w:rsidRDefault="00FD4EDA" w:rsidP="00FD4EDA">
      <w:pPr>
        <w:rPr>
          <w:b/>
        </w:rPr>
      </w:pPr>
    </w:p>
    <w:p w:rsidR="00FD4EDA" w:rsidRPr="004D0BDA" w:rsidRDefault="00FD4EDA" w:rsidP="00FD4EDA">
      <w:pPr>
        <w:rPr>
          <w:b/>
        </w:rPr>
      </w:pPr>
      <w:r w:rsidRPr="004D0BDA">
        <w:rPr>
          <w:b/>
        </w:rPr>
        <w:lastRenderedPageBreak/>
        <w:t>Depósitos por Moeda</w:t>
      </w:r>
    </w:p>
    <w:p w:rsidR="00FD4EDA" w:rsidRPr="004D0BDA" w:rsidRDefault="00FD4EDA" w:rsidP="00FD4EDA">
      <w:pPr>
        <w:ind w:firstLine="720"/>
      </w:pPr>
      <w:r w:rsidRPr="004D0BDA">
        <w:t>Esta desagregação foi inferida com base na informação sobre depósitos apresentada pelo DES do BNA no balanço consolidado da banca comercial.</w:t>
      </w:r>
    </w:p>
    <w:p w:rsidR="00FD4EDA" w:rsidRPr="004D0BDA" w:rsidRDefault="00FD4EDA" w:rsidP="00FD4EDA">
      <w:pPr>
        <w:rPr>
          <w:b/>
        </w:rPr>
      </w:pPr>
      <w:r w:rsidRPr="004D0BDA">
        <w:rPr>
          <w:b/>
        </w:rPr>
        <w:t>Decomposição dos Depósitos</w:t>
      </w:r>
    </w:p>
    <w:p w:rsidR="00FD4EDA" w:rsidRPr="004D0BDA" w:rsidRDefault="00FD4EDA" w:rsidP="00FD4EDA">
      <w:r w:rsidRPr="004D0BDA">
        <w:tab/>
        <w:t>Esta desagregação foi calculada usando a situação dos depósitos nos bancos apresentada pelo DES do BNA para inferir a proporção dos depósitos a prazo e a ordem, excluindo os depósitos do Governo Central e dos Fundos Públicos Autónimos e Segurança Social.</w:t>
      </w:r>
    </w:p>
    <w:p w:rsidR="00FD4EDA" w:rsidRPr="004D0BDA" w:rsidRDefault="00FD4EDA" w:rsidP="00FD4EDA">
      <w:pPr>
        <w:rPr>
          <w:b/>
        </w:rPr>
      </w:pPr>
      <w:r w:rsidRPr="004D0BDA">
        <w:rPr>
          <w:b/>
        </w:rPr>
        <w:t xml:space="preserve">Distribuição da Rede Bancária por Província </w:t>
      </w:r>
    </w:p>
    <w:p w:rsidR="00FD4EDA" w:rsidRPr="004D0BDA" w:rsidRDefault="00FD4EDA" w:rsidP="00FD4EDA">
      <w:r w:rsidRPr="004D0BDA">
        <w:tab/>
        <w:t xml:space="preserve">A informação para o mapeamento da rede bancária por província foi obtida através dos dados reportados pelas instituições financeiras associadas, e quando em falta, através dos seus relatórios e contas e </w:t>
      </w:r>
      <w:proofErr w:type="gramStart"/>
      <w:r w:rsidRPr="004D0BDA">
        <w:rPr>
          <w:i/>
        </w:rPr>
        <w:t>websites</w:t>
      </w:r>
      <w:proofErr w:type="gramEnd"/>
      <w:r w:rsidRPr="004D0BDA">
        <w:t xml:space="preserve">. Segundo os dados disponíveis, nem sempre foi possível distinguir a data de abertura os balcões, dificultando a organização dos dados para os diferentes anos. </w:t>
      </w:r>
    </w:p>
    <w:p w:rsidR="00FD4EDA" w:rsidRPr="004D0BDA" w:rsidRDefault="00FD4EDA" w:rsidP="00FD4EDA">
      <w:r w:rsidRPr="004D0BDA">
        <w:t xml:space="preserve">Para o cálculo dos indicadores de bancarização, para o período 2012-2013 foram utilizados o número de clientes activos. Para o período de 2010-2011, foi utilizado o número </w:t>
      </w:r>
      <w:proofErr w:type="gramStart"/>
      <w:r w:rsidRPr="004D0BDA">
        <w:t>de</w:t>
      </w:r>
      <w:proofErr w:type="gramEnd"/>
      <w:r w:rsidRPr="004D0BDA">
        <w:t xml:space="preserve"> </w:t>
      </w:r>
      <w:proofErr w:type="gramStart"/>
      <w:r w:rsidRPr="004D0BDA">
        <w:t>depositantes</w:t>
      </w:r>
      <w:proofErr w:type="gramEnd"/>
      <w:r w:rsidRPr="004D0BDA">
        <w:t xml:space="preserve"> que têm cartão Multicaixa. </w:t>
      </w:r>
    </w:p>
    <w:p w:rsidR="00FD4EDA" w:rsidRPr="005152C4" w:rsidRDefault="00FD4EDA" w:rsidP="00FD4EDA">
      <w:pPr>
        <w:sectPr w:rsidR="00FD4EDA" w:rsidRPr="005152C4" w:rsidSect="00545827">
          <w:pgSz w:w="11906" w:h="16838"/>
          <w:pgMar w:top="993" w:right="1440" w:bottom="1440" w:left="1440" w:header="708" w:footer="708" w:gutter="0"/>
          <w:cols w:space="708"/>
          <w:docGrid w:linePitch="360"/>
        </w:sectPr>
      </w:pPr>
    </w:p>
    <w:p w:rsidR="004D0BDA" w:rsidRPr="004D0BDA" w:rsidRDefault="004D0BDA" w:rsidP="004D0BDA">
      <w:pPr>
        <w:pStyle w:val="Cabealho2"/>
        <w:ind w:left="720"/>
      </w:pPr>
      <w:bookmarkStart w:id="14" w:name="_Toc357409347"/>
      <w:bookmarkStart w:id="15" w:name="_Toc401576548"/>
      <w:bookmarkEnd w:id="7"/>
      <w:bookmarkEnd w:id="8"/>
      <w:r w:rsidRPr="004D0BDA">
        <w:lastRenderedPageBreak/>
        <w:t>Metodologia de Cálculos e Rácios e Indicadores</w:t>
      </w:r>
      <w:bookmarkEnd w:id="14"/>
      <w:bookmarkEnd w:id="15"/>
      <w:r w:rsidRPr="004D0BDA">
        <w:t xml:space="preserve"> </w:t>
      </w:r>
    </w:p>
    <w:p w:rsidR="004D0BDA" w:rsidRPr="004D0BDA" w:rsidRDefault="004D0BDA" w:rsidP="004D0BDA">
      <w:pPr>
        <w:rPr>
          <w:sz w:val="8"/>
        </w:rPr>
      </w:pPr>
      <w:bookmarkStart w:id="16" w:name="_Ref355009732"/>
      <w:bookmarkStart w:id="17" w:name="_Ref355009938"/>
    </w:p>
    <w:p w:rsidR="004D0BDA" w:rsidRPr="004D0BDA" w:rsidRDefault="004D0BDA" w:rsidP="004D0BDA">
      <w:pPr>
        <w:pStyle w:val="Legenda"/>
      </w:pPr>
      <w:bookmarkStart w:id="18" w:name="_Toc357408642"/>
      <w:bookmarkStart w:id="19" w:name="_Toc401576595"/>
      <w:bookmarkEnd w:id="16"/>
      <w:bookmarkEnd w:id="17"/>
      <w:r w:rsidRPr="004D0BDA">
        <w:t xml:space="preserve">Quadro </w:t>
      </w:r>
      <w:r w:rsidRPr="004D0BDA">
        <w:fldChar w:fldCharType="begin"/>
      </w:r>
      <w:r w:rsidRPr="004D0BDA">
        <w:instrText xml:space="preserve"> SEQ Quadro \* ARABIC </w:instrText>
      </w:r>
      <w:r w:rsidRPr="004D0BDA">
        <w:fldChar w:fldCharType="separate"/>
      </w:r>
      <w:r w:rsidRPr="004D0BDA">
        <w:t>39</w:t>
      </w:r>
      <w:r w:rsidRPr="004D0BDA">
        <w:fldChar w:fldCharType="end"/>
      </w:r>
      <w:r w:rsidRPr="004D0BDA">
        <w:t xml:space="preserve"> – Cálculos, Rácios e Indicadores</w:t>
      </w:r>
      <w:bookmarkEnd w:id="18"/>
      <w:bookmarkEnd w:id="19"/>
    </w:p>
    <w:tbl>
      <w:tblPr>
        <w:tblStyle w:val="ABANC"/>
        <w:tblW w:w="5184" w:type="pct"/>
        <w:tblBorders>
          <w:insideH w:val="single" w:sz="4" w:space="0" w:color="BFBFBF" w:themeColor="background1" w:themeShade="BF"/>
        </w:tblBorders>
        <w:tblLook w:val="04A0" w:firstRow="1" w:lastRow="0" w:firstColumn="1" w:lastColumn="0" w:noHBand="0" w:noVBand="1"/>
      </w:tblPr>
      <w:tblGrid>
        <w:gridCol w:w="2452"/>
        <w:gridCol w:w="6589"/>
      </w:tblGrid>
      <w:tr w:rsidR="004D0BDA" w:rsidRPr="004D0BDA" w:rsidTr="00027F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tcPr>
          <w:p w:rsidR="004D0BDA" w:rsidRPr="004D0BDA" w:rsidRDefault="004D0BDA" w:rsidP="00FD4EDA">
            <w:pPr>
              <w:spacing w:before="240" w:after="240"/>
              <w:contextualSpacing/>
              <w:jc w:val="left"/>
              <w:rPr>
                <w:b/>
              </w:rPr>
            </w:pPr>
          </w:p>
        </w:tc>
        <w:tc>
          <w:tcPr>
            <w:tcW w:w="3538" w:type="pct"/>
          </w:tcPr>
          <w:p w:rsidR="004D0BDA" w:rsidRPr="004D0BDA" w:rsidRDefault="004D0BDA" w:rsidP="00027F25">
            <w:pPr>
              <w:spacing w:before="240" w:after="240"/>
              <w:contextualSpacing/>
              <w:cnfStyle w:val="100000000000" w:firstRow="1" w:lastRow="0" w:firstColumn="0" w:lastColumn="0" w:oddVBand="0" w:evenVBand="0" w:oddHBand="0" w:evenHBand="0" w:firstRowFirstColumn="0" w:firstRowLastColumn="0" w:lastRowFirstColumn="0" w:lastRowLastColumn="0"/>
              <w:rPr>
                <w:b/>
              </w:rPr>
            </w:pPr>
          </w:p>
        </w:tc>
      </w:tr>
      <w:tr w:rsidR="004D0BDA" w:rsidRPr="004D0BDA" w:rsidTr="00027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tcPr>
          <w:p w:rsidR="004D0BDA" w:rsidRPr="004D0BDA" w:rsidRDefault="004D0BDA" w:rsidP="00FD4EDA">
            <w:pPr>
              <w:spacing w:before="240" w:after="240"/>
              <w:contextualSpacing/>
              <w:jc w:val="left"/>
              <w:rPr>
                <w:b/>
              </w:rPr>
            </w:pPr>
            <w:r w:rsidRPr="004D0BDA">
              <w:rPr>
                <w:b/>
              </w:rPr>
              <w:t>Cartões Válidos</w:t>
            </w:r>
          </w:p>
        </w:tc>
        <w:tc>
          <w:tcPr>
            <w:tcW w:w="3538" w:type="pct"/>
          </w:tcPr>
          <w:p w:rsidR="004D0BDA" w:rsidRPr="004D0BDA" w:rsidRDefault="004D0BDA" w:rsidP="00027F25">
            <w:pPr>
              <w:spacing w:before="240" w:after="240"/>
              <w:contextualSpacing/>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4D0BDA">
              <w:t>Total de cartões registados na rede com data de expiração válida no último dia do mês</w:t>
            </w:r>
          </w:p>
        </w:tc>
      </w:tr>
      <w:tr w:rsidR="004D0BDA" w:rsidRPr="004D0BDA" w:rsidTr="00027F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tcPr>
          <w:p w:rsidR="004D0BDA" w:rsidRPr="004D0BDA" w:rsidRDefault="004D0BDA" w:rsidP="00FD4EDA">
            <w:pPr>
              <w:spacing w:before="240" w:after="240"/>
              <w:contextualSpacing/>
              <w:jc w:val="left"/>
              <w:rPr>
                <w:b/>
              </w:rPr>
            </w:pPr>
            <w:r w:rsidRPr="004D0BDA">
              <w:rPr>
                <w:b/>
              </w:rPr>
              <w:t>Cartões Activos</w:t>
            </w:r>
          </w:p>
        </w:tc>
        <w:tc>
          <w:tcPr>
            <w:tcW w:w="3538" w:type="pct"/>
          </w:tcPr>
          <w:p w:rsidR="004D0BDA" w:rsidRPr="004D0BDA" w:rsidRDefault="004D0BDA" w:rsidP="00027F25">
            <w:pPr>
              <w:spacing w:before="240" w:after="240"/>
              <w:contextualSpacing/>
              <w:cnfStyle w:val="000000010000" w:firstRow="0" w:lastRow="0" w:firstColumn="0" w:lastColumn="0" w:oddVBand="0" w:evenVBand="0" w:oddHBand="0" w:evenHBand="1" w:firstRowFirstColumn="0" w:firstRowLastColumn="0" w:lastRowFirstColumn="0" w:lastRowLastColumn="0"/>
              <w:rPr>
                <w:rFonts w:cs="Times New Roman"/>
                <w:b/>
                <w:sz w:val="20"/>
                <w:szCs w:val="20"/>
              </w:rPr>
            </w:pPr>
            <w:r w:rsidRPr="004D0BDA">
              <w:t>Total de cartões com pelo menos um movimento no mês</w:t>
            </w:r>
          </w:p>
        </w:tc>
      </w:tr>
      <w:tr w:rsidR="004D0BDA" w:rsidRPr="004D0BDA" w:rsidTr="00027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tcPr>
          <w:p w:rsidR="004D0BDA" w:rsidRPr="004D0BDA" w:rsidRDefault="004D0BDA" w:rsidP="00FD4EDA">
            <w:pPr>
              <w:spacing w:before="240" w:after="240"/>
              <w:contextualSpacing/>
              <w:jc w:val="left"/>
              <w:rPr>
                <w:b/>
              </w:rPr>
            </w:pPr>
            <w:r w:rsidRPr="004D0BDA">
              <w:rPr>
                <w:b/>
              </w:rPr>
              <w:t>Cartões Vivos</w:t>
            </w:r>
          </w:p>
        </w:tc>
        <w:tc>
          <w:tcPr>
            <w:tcW w:w="3538" w:type="pct"/>
          </w:tcPr>
          <w:p w:rsidR="004D0BDA" w:rsidRPr="004D0BDA" w:rsidRDefault="004D0BDA" w:rsidP="00027F25">
            <w:pPr>
              <w:spacing w:before="240" w:after="240"/>
              <w:contextualSpacing/>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4D0BDA">
              <w:t>Total de cartões válidos utilizados na rede até ao último dia do mês</w:t>
            </w:r>
          </w:p>
        </w:tc>
      </w:tr>
      <w:tr w:rsidR="004D0BDA" w:rsidRPr="004D0BDA" w:rsidTr="00027F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tcPr>
          <w:p w:rsidR="004D0BDA" w:rsidRPr="004D0BDA" w:rsidRDefault="004D0BDA" w:rsidP="00FD4EDA">
            <w:pPr>
              <w:spacing w:before="240" w:after="240"/>
              <w:contextualSpacing/>
              <w:jc w:val="left"/>
              <w:rPr>
                <w:b/>
              </w:rPr>
            </w:pPr>
            <w:r w:rsidRPr="004D0BDA">
              <w:rPr>
                <w:rStyle w:val="Forte"/>
              </w:rPr>
              <w:t>Classificação dos Segmentos por Natureza da Participação Maioritária</w:t>
            </w:r>
          </w:p>
        </w:tc>
        <w:tc>
          <w:tcPr>
            <w:tcW w:w="3538" w:type="pct"/>
          </w:tcPr>
          <w:p w:rsidR="004D0BDA" w:rsidRPr="004D0BDA" w:rsidRDefault="004D0BDA" w:rsidP="00027F25">
            <w:pP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4D0BDA">
              <w:t>De acordo com a Lei nº 13/05, uma pessoa singular ou colectiva tem relação de domínio sobre uma sociedade quando se verifiquem algumas das seguintes situações:</w:t>
            </w:r>
          </w:p>
          <w:p w:rsidR="004D0BDA" w:rsidRPr="004D0BDA" w:rsidRDefault="004D0BDA" w:rsidP="004D0BDA">
            <w:pPr>
              <w:pStyle w:val="PargrafodaLista"/>
              <w:numPr>
                <w:ilvl w:val="0"/>
                <w:numId w:val="4"/>
              </w:numPr>
              <w:ind w:left="317" w:hanging="284"/>
              <w:cnfStyle w:val="000000010000" w:firstRow="0" w:lastRow="0" w:firstColumn="0" w:lastColumn="0" w:oddVBand="0" w:evenVBand="0" w:oddHBand="0" w:evenHBand="1" w:firstRowFirstColumn="0" w:firstRowLastColumn="0" w:lastRowFirstColumn="0" w:lastRowLastColumn="0"/>
              <w:rPr>
                <w:rFonts w:eastAsia="Times New Roman" w:cs="Times New Roman"/>
              </w:rPr>
            </w:pPr>
            <w:r w:rsidRPr="004D0BDA">
              <w:rPr>
                <w:rFonts w:eastAsia="Times New Roman" w:cs="Times New Roman"/>
              </w:rPr>
              <w:t>A pessoa em causa detenha a maioria dos direitos de voto;</w:t>
            </w:r>
          </w:p>
          <w:p w:rsidR="004D0BDA" w:rsidRPr="004D0BDA" w:rsidRDefault="004D0BDA" w:rsidP="004D0BDA">
            <w:pPr>
              <w:pStyle w:val="PargrafodaLista"/>
              <w:numPr>
                <w:ilvl w:val="0"/>
                <w:numId w:val="4"/>
              </w:numPr>
              <w:ind w:left="317" w:hanging="284"/>
              <w:cnfStyle w:val="000000010000" w:firstRow="0" w:lastRow="0" w:firstColumn="0" w:lastColumn="0" w:oddVBand="0" w:evenVBand="0" w:oddHBand="0" w:evenHBand="1" w:firstRowFirstColumn="0" w:firstRowLastColumn="0" w:lastRowFirstColumn="0" w:lastRowLastColumn="0"/>
              <w:rPr>
                <w:rFonts w:eastAsia="Times New Roman" w:cs="Times New Roman"/>
              </w:rPr>
            </w:pPr>
            <w:r w:rsidRPr="004D0BDA">
              <w:rPr>
                <w:rFonts w:eastAsia="Times New Roman" w:cs="Times New Roman"/>
              </w:rPr>
              <w:t>Seja sócia da sociedade e tiver o direito de designar ou de destituir mais de metade dos membros do órgão de administração ou do órgão de fiscalização;</w:t>
            </w:r>
          </w:p>
          <w:p w:rsidR="004D0BDA" w:rsidRPr="004D0BDA" w:rsidRDefault="004D0BDA" w:rsidP="004D0BDA">
            <w:pPr>
              <w:pStyle w:val="PargrafodaLista"/>
              <w:numPr>
                <w:ilvl w:val="0"/>
                <w:numId w:val="4"/>
              </w:numPr>
              <w:ind w:left="317" w:hanging="284"/>
              <w:cnfStyle w:val="000000010000" w:firstRow="0" w:lastRow="0" w:firstColumn="0" w:lastColumn="0" w:oddVBand="0" w:evenVBand="0" w:oddHBand="0" w:evenHBand="1" w:firstRowFirstColumn="0" w:firstRowLastColumn="0" w:lastRowFirstColumn="0" w:lastRowLastColumn="0"/>
              <w:rPr>
                <w:rFonts w:eastAsia="Times New Roman" w:cs="Times New Roman"/>
              </w:rPr>
            </w:pPr>
            <w:r w:rsidRPr="004D0BDA">
              <w:rPr>
                <w:rFonts w:eastAsia="Times New Roman" w:cs="Times New Roman"/>
              </w:rPr>
              <w:t>Possa exercer uma influência dominante sobre a sociedade por força de contrato ou de cláusulas dos estatutos desta;</w:t>
            </w:r>
          </w:p>
          <w:p w:rsidR="004D0BDA" w:rsidRPr="004D0BDA" w:rsidRDefault="004D0BDA" w:rsidP="004D0BDA">
            <w:pPr>
              <w:pStyle w:val="PargrafodaLista"/>
              <w:numPr>
                <w:ilvl w:val="0"/>
                <w:numId w:val="4"/>
              </w:numPr>
              <w:ind w:left="317" w:hanging="284"/>
              <w:cnfStyle w:val="000000010000" w:firstRow="0" w:lastRow="0" w:firstColumn="0" w:lastColumn="0" w:oddVBand="0" w:evenVBand="0" w:oddHBand="0" w:evenHBand="1" w:firstRowFirstColumn="0" w:firstRowLastColumn="0" w:lastRowFirstColumn="0" w:lastRowLastColumn="0"/>
              <w:rPr>
                <w:rFonts w:eastAsia="Times New Roman" w:cs="Times New Roman"/>
              </w:rPr>
            </w:pPr>
            <w:r w:rsidRPr="004D0BDA">
              <w:rPr>
                <w:rFonts w:eastAsia="Times New Roman" w:cs="Times New Roman"/>
              </w:rPr>
              <w:t>Soja sócio da sociedade e controle por si só, em virtude do acordo concluído com outros sócios desta, a maioria dos direitos de voto;</w:t>
            </w:r>
          </w:p>
          <w:p w:rsidR="004D0BDA" w:rsidRPr="004D0BDA" w:rsidRDefault="004D0BDA" w:rsidP="004D0BDA">
            <w:pPr>
              <w:pStyle w:val="PargrafodaLista"/>
              <w:numPr>
                <w:ilvl w:val="0"/>
                <w:numId w:val="4"/>
              </w:numPr>
              <w:ind w:left="317" w:hanging="284"/>
              <w:cnfStyle w:val="000000010000" w:firstRow="0" w:lastRow="0" w:firstColumn="0" w:lastColumn="0" w:oddVBand="0" w:evenVBand="0" w:oddHBand="0" w:evenHBand="1" w:firstRowFirstColumn="0" w:firstRowLastColumn="0" w:lastRowFirstColumn="0" w:lastRowLastColumn="0"/>
              <w:rPr>
                <w:rFonts w:eastAsia="Times New Roman" w:cs="Times New Roman"/>
              </w:rPr>
            </w:pPr>
            <w:r w:rsidRPr="004D0BDA">
              <w:rPr>
                <w:rFonts w:eastAsia="Times New Roman" w:cs="Times New Roman"/>
              </w:rPr>
              <w:t>Detenha a participação igual ou superior a 20% do capital da sociedade, desde que exerça efectivamente sobre esta, uma influência dominante ou se encontre ambas colocadas sob direcção única.</w:t>
            </w:r>
          </w:p>
          <w:p w:rsidR="004D0BDA" w:rsidRPr="004D0BDA" w:rsidRDefault="004D0BDA" w:rsidP="00027F25">
            <w:pP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4D0BDA">
              <w:t>A participação societária considera-se maioritária quando a pessoa singular ou colectiva, que detenha directa ou indirectamente a participação qualificada da sociedade, tem uma relação de domínio sobre a sociedade.</w:t>
            </w:r>
          </w:p>
          <w:p w:rsidR="004D0BDA" w:rsidRPr="004D0BDA" w:rsidRDefault="004D0BDA" w:rsidP="00027F25">
            <w:pPr>
              <w:cnfStyle w:val="000000010000" w:firstRow="0" w:lastRow="0" w:firstColumn="0" w:lastColumn="0" w:oddVBand="0" w:evenVBand="0" w:oddHBand="0" w:evenHBand="1" w:firstRowFirstColumn="0" w:firstRowLastColumn="0" w:lastRowFirstColumn="0" w:lastRowLastColumn="0"/>
              <w:rPr>
                <w:rFonts w:cs="Times New Roman"/>
                <w:b/>
                <w:sz w:val="20"/>
                <w:szCs w:val="20"/>
              </w:rPr>
            </w:pPr>
            <w:r w:rsidRPr="004D0BDA">
              <w:t xml:space="preserve">Classificam-se como “Banco Público” as instituições financeiras bancárias cuja participação maioritária seja de capital público (empresas públicas, de empresas de capitais públicos ou com participação maioritária de capital público, bem como de empresas concessionárias de bens do domínio público); “Banco Privado Nacional” cuja participação maioritária seja de capital privado angolano; “Filial de Bancos Estrangeiros” cuja participação </w:t>
            </w:r>
            <w:r w:rsidRPr="004D0BDA">
              <w:lastRenderedPageBreak/>
              <w:t>maioritária seja de uma instituição financeira bancária estrangeira, ou empresa mãe de instituição financeira bancária estrangeira, e que por força da natureza da participação, transforme o banco em causa numa filial da instituição financeira bancária estrangeira.</w:t>
            </w:r>
          </w:p>
        </w:tc>
      </w:tr>
      <w:tr w:rsidR="004D0BDA" w:rsidRPr="004D0BDA" w:rsidTr="00027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tcPr>
          <w:p w:rsidR="004D0BDA" w:rsidRPr="004D0BDA" w:rsidRDefault="004D0BDA" w:rsidP="00FD4EDA">
            <w:pPr>
              <w:spacing w:before="240" w:after="240"/>
              <w:contextualSpacing/>
              <w:jc w:val="left"/>
              <w:rPr>
                <w:b/>
              </w:rPr>
            </w:pPr>
            <w:r w:rsidRPr="004D0BDA">
              <w:rPr>
                <w:rStyle w:val="Forte"/>
              </w:rPr>
              <w:lastRenderedPageBreak/>
              <w:t>Classificação dos Segmentos por Dimensão</w:t>
            </w:r>
          </w:p>
        </w:tc>
        <w:tc>
          <w:tcPr>
            <w:tcW w:w="3538" w:type="pct"/>
          </w:tcPr>
          <w:p w:rsidR="004D0BDA" w:rsidRPr="004D0BDA" w:rsidRDefault="004D0BDA" w:rsidP="00027F25">
            <w:pPr>
              <w:spacing w:before="240" w:after="240"/>
              <w:contextualSpacing/>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4D0BDA">
              <w:t>Classificam-se “Grande” as instituições que representam 10% inclusive ou mais do activo agregado; “Média” as que representam entre 1% e 10%; “Pequena” as que representam 1% inclusive ou menos do activo agregado</w:t>
            </w:r>
          </w:p>
        </w:tc>
      </w:tr>
      <w:tr w:rsidR="004D0BDA" w:rsidRPr="004D0BDA" w:rsidTr="00027F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tcPr>
          <w:p w:rsidR="004D0BDA" w:rsidRPr="004D0BDA" w:rsidRDefault="004D0BDA" w:rsidP="00FD4EDA">
            <w:pPr>
              <w:spacing w:before="240" w:after="240"/>
              <w:contextualSpacing/>
              <w:jc w:val="left"/>
              <w:rPr>
                <w:b/>
                <w:bCs/>
              </w:rPr>
            </w:pPr>
            <w:r w:rsidRPr="004D0BDA">
              <w:rPr>
                <w:rStyle w:val="Forte"/>
              </w:rPr>
              <w:t>Densidade Populacional</w:t>
            </w:r>
          </w:p>
        </w:tc>
        <w:tc>
          <w:tcPr>
            <w:tcW w:w="3538" w:type="pct"/>
          </w:tcPr>
          <w:p w:rsidR="004D0BDA" w:rsidRPr="004D0BDA" w:rsidRDefault="004D0BDA" w:rsidP="00027F25">
            <w:pPr>
              <w:spacing w:before="240" w:after="240"/>
              <w:contextualSpacing/>
              <w:cnfStyle w:val="000000010000" w:firstRow="0" w:lastRow="0" w:firstColumn="0" w:lastColumn="0" w:oddVBand="0" w:evenVBand="0" w:oddHBand="0" w:evenHBand="1" w:firstRowFirstColumn="0" w:firstRowLastColumn="0" w:lastRowFirstColumn="0" w:lastRowLastColumn="0"/>
            </w:pPr>
            <m:oMathPara>
              <m:oMath>
                <m:r>
                  <w:rPr>
                    <w:rFonts w:ascii="Cambria Math" w:hAnsi="Cambria Math"/>
                  </w:rPr>
                  <m:t xml:space="preserve">Densidade Populacional= </m:t>
                </m:r>
                <m:f>
                  <m:fPr>
                    <m:ctrlPr>
                      <w:rPr>
                        <w:rFonts w:ascii="Cambria Math" w:hAnsi="Cambria Math"/>
                        <w:i/>
                      </w:rPr>
                    </m:ctrlPr>
                  </m:fPr>
                  <m:num>
                    <m:r>
                      <w:rPr>
                        <w:rFonts w:ascii="Cambria Math" w:hAnsi="Cambria Math"/>
                      </w:rPr>
                      <m:t>Habitantes</m:t>
                    </m:r>
                  </m:num>
                  <m:den>
                    <m:r>
                      <w:rPr>
                        <w:rFonts w:ascii="Cambria Math" w:hAnsi="Cambria Math"/>
                      </w:rPr>
                      <m:t>Área</m:t>
                    </m:r>
                  </m:den>
                </m:f>
              </m:oMath>
            </m:oMathPara>
          </w:p>
          <w:p w:rsidR="004D0BDA" w:rsidRPr="004D0BDA" w:rsidRDefault="004D0BDA" w:rsidP="00027F25">
            <w:pPr>
              <w:spacing w:before="240" w:after="240"/>
              <w:contextualSpacing/>
              <w:cnfStyle w:val="000000010000" w:firstRow="0" w:lastRow="0" w:firstColumn="0" w:lastColumn="0" w:oddVBand="0" w:evenVBand="0" w:oddHBand="0" w:evenHBand="1" w:firstRowFirstColumn="0" w:firstRowLastColumn="0" w:lastRowFirstColumn="0" w:lastRowLastColumn="0"/>
            </w:pPr>
            <w:r w:rsidRPr="004D0BDA">
              <w:t>Medida que relaciona o número de indivíduos com a área que ocupam, expressa em número de habitantes por km</w:t>
            </w:r>
            <w:r w:rsidRPr="004D0BDA">
              <w:rPr>
                <w:vertAlign w:val="superscript"/>
              </w:rPr>
              <w:t>2</w:t>
            </w:r>
            <w:r w:rsidRPr="004D0BDA">
              <w:t>, indicando a média de habitantes existentes por cada quilómetro quadrado.</w:t>
            </w:r>
          </w:p>
        </w:tc>
      </w:tr>
      <w:tr w:rsidR="004D0BDA" w:rsidRPr="004D0BDA" w:rsidTr="00027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tcPr>
          <w:p w:rsidR="004D0BDA" w:rsidRPr="004D0BDA" w:rsidRDefault="004D0BDA" w:rsidP="00FD4EDA">
            <w:pPr>
              <w:spacing w:before="240" w:after="240"/>
              <w:contextualSpacing/>
              <w:jc w:val="left"/>
              <w:rPr>
                <w:b/>
                <w:bCs/>
              </w:rPr>
            </w:pPr>
            <w:r w:rsidRPr="004D0BDA">
              <w:rPr>
                <w:rStyle w:val="Forte"/>
              </w:rPr>
              <w:t>Economia</w:t>
            </w:r>
          </w:p>
        </w:tc>
        <w:tc>
          <w:tcPr>
            <w:tcW w:w="3538" w:type="pct"/>
          </w:tcPr>
          <w:p w:rsidR="004D0BDA" w:rsidRPr="004D0BDA" w:rsidRDefault="004D0BDA" w:rsidP="00027F25">
            <w:pPr>
              <w:spacing w:before="240" w:after="240"/>
              <w:contextualSpacing/>
              <w:cnfStyle w:val="000000100000" w:firstRow="0" w:lastRow="0" w:firstColumn="0" w:lastColumn="0" w:oddVBand="0" w:evenVBand="0" w:oddHBand="1" w:evenHBand="0" w:firstRowFirstColumn="0" w:firstRowLastColumn="0" w:lastRowFirstColumn="0" w:lastRowLastColumn="0"/>
            </w:pPr>
            <w:r w:rsidRPr="004D0BDA">
              <w:t>Ciência que se ocupa da produção e do consumo de bens e serviços, da circulação da riqueza e da redistribuição do rendimento</w:t>
            </w:r>
          </w:p>
        </w:tc>
      </w:tr>
      <w:tr w:rsidR="004D0BDA" w:rsidRPr="004D0BDA" w:rsidTr="00027F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tcPr>
          <w:p w:rsidR="004D0BDA" w:rsidRPr="004D0BDA" w:rsidRDefault="004D0BDA" w:rsidP="00FD4EDA">
            <w:pPr>
              <w:spacing w:before="240" w:after="240"/>
              <w:contextualSpacing/>
              <w:jc w:val="left"/>
              <w:rPr>
                <w:b/>
                <w:bCs/>
              </w:rPr>
            </w:pPr>
            <w:r w:rsidRPr="004D0BDA">
              <w:rPr>
                <w:rStyle w:val="Forte"/>
              </w:rPr>
              <w:t>Grau de Abertura da Economia</w:t>
            </w:r>
          </w:p>
        </w:tc>
        <w:tc>
          <w:tcPr>
            <w:tcW w:w="3538" w:type="pct"/>
          </w:tcPr>
          <w:p w:rsidR="004D0BDA" w:rsidRPr="004D0BDA" w:rsidRDefault="004D0BDA" w:rsidP="00027F25">
            <w:pPr>
              <w:spacing w:before="240" w:after="240"/>
              <w:contextualSpacing/>
              <w:cnfStyle w:val="000000010000" w:firstRow="0" w:lastRow="0" w:firstColumn="0" w:lastColumn="0" w:oddVBand="0" w:evenVBand="0" w:oddHBand="0" w:evenHBand="1" w:firstRowFirstColumn="0" w:firstRowLastColumn="0" w:lastRowFirstColumn="0" w:lastRowLastColumn="0"/>
            </w:pPr>
            <m:oMathPara>
              <m:oMath>
                <m:r>
                  <w:rPr>
                    <w:rFonts w:ascii="Cambria Math" w:hAnsi="Cambria Math"/>
                  </w:rPr>
                  <m:t xml:space="preserve">Grau de Abertura da Economia= </m:t>
                </m:r>
                <m:f>
                  <m:fPr>
                    <m:ctrlPr>
                      <w:rPr>
                        <w:rFonts w:ascii="Cambria Math" w:hAnsi="Cambria Math"/>
                        <w:i/>
                      </w:rPr>
                    </m:ctrlPr>
                  </m:fPr>
                  <m:num>
                    <m:d>
                      <m:dPr>
                        <m:ctrlPr>
                          <w:rPr>
                            <w:rFonts w:ascii="Cambria Math" w:hAnsi="Cambria Math"/>
                            <w:i/>
                          </w:rPr>
                        </m:ctrlPr>
                      </m:dPr>
                      <m:e>
                        <m:r>
                          <w:rPr>
                            <w:rFonts w:ascii="Cambria Math" w:hAnsi="Cambria Math"/>
                          </w:rPr>
                          <m:t>Exportações+Importações</m:t>
                        </m:r>
                      </m:e>
                    </m:d>
                  </m:num>
                  <m:den>
                    <m:r>
                      <w:rPr>
                        <w:rFonts w:ascii="Cambria Math" w:hAnsi="Cambria Math"/>
                      </w:rPr>
                      <m:t>PIB Nominal</m:t>
                    </m:r>
                  </m:den>
                </m:f>
              </m:oMath>
            </m:oMathPara>
          </w:p>
          <w:p w:rsidR="004D0BDA" w:rsidRPr="004D0BDA" w:rsidRDefault="004D0BDA" w:rsidP="00027F25">
            <w:pPr>
              <w:spacing w:before="240" w:after="240"/>
              <w:contextualSpacing/>
              <w:cnfStyle w:val="000000010000" w:firstRow="0" w:lastRow="0" w:firstColumn="0" w:lastColumn="0" w:oddVBand="0" w:evenVBand="0" w:oddHBand="0" w:evenHBand="1" w:firstRowFirstColumn="0" w:firstRowLastColumn="0" w:lastRowFirstColumn="0" w:lastRowLastColumn="0"/>
            </w:pPr>
            <w:r w:rsidRPr="004D0BDA">
              <w:t>Um país é considerado comercialmente aberto quando atinge um grau de abertura de 30%, segundo o Banco Mundial.</w:t>
            </w:r>
          </w:p>
        </w:tc>
      </w:tr>
      <w:tr w:rsidR="004D0BDA" w:rsidRPr="004D0BDA" w:rsidTr="00027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tcPr>
          <w:p w:rsidR="004D0BDA" w:rsidRPr="004D0BDA" w:rsidRDefault="004D0BDA" w:rsidP="00FD4EDA">
            <w:pPr>
              <w:spacing w:before="240" w:after="240"/>
              <w:contextualSpacing/>
              <w:jc w:val="left"/>
              <w:rPr>
                <w:b/>
              </w:rPr>
            </w:pPr>
            <w:r w:rsidRPr="004D0BDA">
              <w:rPr>
                <w:b/>
              </w:rPr>
              <w:t>Índice de Actividade das Caixas Automáticas</w:t>
            </w:r>
          </w:p>
        </w:tc>
        <w:tc>
          <w:tcPr>
            <w:tcW w:w="3538" w:type="pct"/>
          </w:tcPr>
          <w:p w:rsidR="004D0BDA" w:rsidRPr="004D0BDA" w:rsidRDefault="004D0BDA" w:rsidP="00027F25">
            <w:pPr>
              <w:spacing w:before="240" w:after="24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D0BDA">
              <w:t>É o equivalente ao rácio de caixas automáticas activas sobre as caixas automáticas matriculadas</w:t>
            </w:r>
          </w:p>
          <w:p w:rsidR="004D0BDA" w:rsidRPr="004D0BDA" w:rsidRDefault="004D0BDA" w:rsidP="00027F25">
            <w:pPr>
              <w:spacing w:before="240" w:after="240"/>
              <w:contextualSpacing/>
              <w:cnfStyle w:val="000000100000" w:firstRow="0" w:lastRow="0" w:firstColumn="0" w:lastColumn="0" w:oddVBand="0" w:evenVBand="0" w:oddHBand="1" w:evenHBand="0" w:firstRowFirstColumn="0" w:firstRowLastColumn="0" w:lastRowFirstColumn="0" w:lastRowLastColumn="0"/>
            </w:pPr>
            <m:oMathPara>
              <m:oMath>
                <m:r>
                  <m:rPr>
                    <m:sty m:val="p"/>
                  </m:rPr>
                  <w:rPr>
                    <w:rFonts w:ascii="Cambria Math" w:hAnsi="Cambria Math"/>
                  </w:rPr>
                  <m:t>Í</m:t>
                </m:r>
                <m:r>
                  <w:rPr>
                    <w:rFonts w:ascii="Cambria Math" w:hAnsi="Cambria Math"/>
                  </w:rPr>
                  <m:t>ndice</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Actividade</m:t>
                </m:r>
                <m:r>
                  <m:rPr>
                    <m:sty m:val="p"/>
                  </m:rPr>
                  <w:rPr>
                    <w:rFonts w:ascii="Cambria Math" w:hAnsi="Cambria Math"/>
                  </w:rPr>
                  <m:t xml:space="preserve"> </m:t>
                </m:r>
                <m:r>
                  <w:rPr>
                    <w:rFonts w:ascii="Cambria Math" w:hAnsi="Cambria Math"/>
                  </w:rPr>
                  <m:t>dos</m:t>
                </m:r>
                <m:r>
                  <m:rPr>
                    <m:sty m:val="p"/>
                  </m:rPr>
                  <w:rPr>
                    <w:rFonts w:ascii="Cambria Math" w:hAnsi="Cambria Math"/>
                  </w:rPr>
                  <m:t xml:space="preserve"> </m:t>
                </m:r>
                <m:r>
                  <w:rPr>
                    <w:rFonts w:ascii="Cambria Math" w:hAnsi="Cambria Math"/>
                  </w:rPr>
                  <m:t>Cart</m:t>
                </m:r>
                <m:r>
                  <m:rPr>
                    <m:sty m:val="p"/>
                  </m:rPr>
                  <w:rPr>
                    <w:rFonts w:ascii="Cambria Math" w:hAnsi="Cambria Math"/>
                  </w:rPr>
                  <m:t>õ</m:t>
                </m:r>
                <m:r>
                  <w:rPr>
                    <w:rFonts w:ascii="Cambria Math" w:hAnsi="Cambria Math"/>
                  </w:rPr>
                  <m:t>es</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Pagamentos</m:t>
                </m:r>
                <m:r>
                  <m:rPr>
                    <m:sty m:val="p"/>
                  </m:rPr>
                  <w:rPr>
                    <w:rFonts w:ascii="Cambria Math" w:hAnsi="Cambria Math"/>
                  </w:rPr>
                  <m:t>=</m:t>
                </m:r>
                <m:f>
                  <m:fPr>
                    <m:ctrlPr>
                      <w:rPr>
                        <w:rFonts w:ascii="Cambria Math" w:hAnsi="Cambria Math"/>
                      </w:rPr>
                    </m:ctrlPr>
                  </m:fPr>
                  <m:num>
                    <m:r>
                      <w:rPr>
                        <w:rFonts w:ascii="Cambria Math" w:hAnsi="Cambria Math"/>
                      </w:rPr>
                      <m:t>Cart</m:t>
                    </m:r>
                    <m:r>
                      <m:rPr>
                        <m:sty m:val="p"/>
                      </m:rPr>
                      <w:rPr>
                        <w:rFonts w:ascii="Cambria Math" w:hAnsi="Cambria Math"/>
                      </w:rPr>
                      <m:t>õ</m:t>
                    </m:r>
                    <m:r>
                      <w:rPr>
                        <w:rFonts w:ascii="Cambria Math" w:hAnsi="Cambria Math"/>
                      </w:rPr>
                      <m:t>es</m:t>
                    </m:r>
                    <m:r>
                      <m:rPr>
                        <m:sty m:val="p"/>
                      </m:rPr>
                      <w:rPr>
                        <w:rFonts w:ascii="Cambria Math" w:hAnsi="Cambria Math"/>
                      </w:rPr>
                      <m:t xml:space="preserve"> </m:t>
                    </m:r>
                    <m:r>
                      <w:rPr>
                        <w:rFonts w:ascii="Cambria Math" w:hAnsi="Cambria Math"/>
                      </w:rPr>
                      <m:t>Vivos</m:t>
                    </m:r>
                  </m:num>
                  <m:den>
                    <m:r>
                      <w:rPr>
                        <w:rFonts w:ascii="Cambria Math" w:hAnsi="Cambria Math"/>
                      </w:rPr>
                      <m:t>Cart</m:t>
                    </m:r>
                    <m:r>
                      <m:rPr>
                        <m:sty m:val="p"/>
                      </m:rPr>
                      <w:rPr>
                        <w:rFonts w:ascii="Cambria Math" w:hAnsi="Cambria Math"/>
                      </w:rPr>
                      <m:t>õ</m:t>
                    </m:r>
                    <m:r>
                      <w:rPr>
                        <w:rFonts w:ascii="Cambria Math" w:hAnsi="Cambria Math"/>
                      </w:rPr>
                      <m:t>es</m:t>
                    </m:r>
                    <m:r>
                      <m:rPr>
                        <m:sty m:val="p"/>
                      </m:rPr>
                      <w:rPr>
                        <w:rFonts w:ascii="Cambria Math" w:hAnsi="Cambria Math"/>
                      </w:rPr>
                      <m:t xml:space="preserve"> </m:t>
                    </m:r>
                    <m:r>
                      <w:rPr>
                        <w:rFonts w:ascii="Cambria Math" w:hAnsi="Cambria Math"/>
                      </w:rPr>
                      <m:t>V</m:t>
                    </m:r>
                    <m:r>
                      <m:rPr>
                        <m:sty m:val="p"/>
                      </m:rPr>
                      <w:rPr>
                        <w:rFonts w:ascii="Cambria Math" w:hAnsi="Cambria Math"/>
                      </w:rPr>
                      <m:t>á</m:t>
                    </m:r>
                    <m:r>
                      <w:rPr>
                        <w:rFonts w:ascii="Cambria Math" w:hAnsi="Cambria Math"/>
                      </w:rPr>
                      <m:t>lidos</m:t>
                    </m:r>
                  </m:den>
                </m:f>
              </m:oMath>
            </m:oMathPara>
          </w:p>
        </w:tc>
      </w:tr>
      <w:tr w:rsidR="004D0BDA" w:rsidRPr="004D0BDA" w:rsidTr="00027F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tcPr>
          <w:p w:rsidR="004D0BDA" w:rsidRPr="004D0BDA" w:rsidRDefault="004D0BDA" w:rsidP="00FD4EDA">
            <w:pPr>
              <w:spacing w:before="240" w:after="240"/>
              <w:contextualSpacing/>
              <w:jc w:val="left"/>
              <w:rPr>
                <w:b/>
              </w:rPr>
            </w:pPr>
            <w:r w:rsidRPr="004D0BDA">
              <w:rPr>
                <w:b/>
              </w:rPr>
              <w:t>Índice de Actividade dos Cartões de Pagamentos Multicaixa</w:t>
            </w:r>
          </w:p>
        </w:tc>
        <w:tc>
          <w:tcPr>
            <w:tcW w:w="3538" w:type="pct"/>
          </w:tcPr>
          <w:p w:rsidR="004D0BDA" w:rsidRPr="004D0BDA" w:rsidRDefault="004D0BDA" w:rsidP="00027F25">
            <w:pPr>
              <w:spacing w:before="240" w:after="240"/>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4D0BDA">
              <w:t>É o equivalente ao rácio de cartões de pagamentos vivos sobre os cartões válidos</w:t>
            </w:r>
          </w:p>
          <w:p w:rsidR="004D0BDA" w:rsidRPr="004D0BDA" w:rsidRDefault="004D0BDA" w:rsidP="00027F25">
            <w:pPr>
              <w:spacing w:before="240" w:after="240"/>
              <w:contextualSpacing/>
              <w:cnfStyle w:val="000000010000" w:firstRow="0" w:lastRow="0" w:firstColumn="0" w:lastColumn="0" w:oddVBand="0" w:evenVBand="0" w:oddHBand="0" w:evenHBand="1" w:firstRowFirstColumn="0" w:firstRowLastColumn="0" w:lastRowFirstColumn="0" w:lastRowLastColumn="0"/>
            </w:pPr>
            <m:oMathPara>
              <m:oMathParaPr>
                <m:jc m:val="left"/>
              </m:oMathParaPr>
              <m:oMath>
                <m:r>
                  <m:rPr>
                    <m:sty m:val="p"/>
                  </m:rPr>
                  <w:rPr>
                    <w:rFonts w:ascii="Cambria Math" w:hAnsi="Cambria Math"/>
                  </w:rPr>
                  <m:t>Í</m:t>
                </m:r>
                <m:r>
                  <w:rPr>
                    <w:rFonts w:ascii="Cambria Math" w:hAnsi="Cambria Math"/>
                  </w:rPr>
                  <m:t>ndice</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Actividade</m:t>
                </m:r>
                <m:r>
                  <m:rPr>
                    <m:sty m:val="p"/>
                  </m:rPr>
                  <w:rPr>
                    <w:rFonts w:ascii="Cambria Math" w:hAnsi="Cambria Math"/>
                  </w:rPr>
                  <m:t xml:space="preserve"> </m:t>
                </m:r>
                <m:r>
                  <w:rPr>
                    <w:rFonts w:ascii="Cambria Math" w:hAnsi="Cambria Math"/>
                  </w:rPr>
                  <m:t>dos</m:t>
                </m:r>
                <m:r>
                  <m:rPr>
                    <m:sty m:val="p"/>
                  </m:rPr>
                  <w:rPr>
                    <w:rFonts w:ascii="Cambria Math" w:hAnsi="Cambria Math"/>
                  </w:rPr>
                  <m:t xml:space="preserve"> </m:t>
                </m:r>
                <m:r>
                  <w:rPr>
                    <w:rFonts w:ascii="Cambria Math" w:hAnsi="Cambria Math"/>
                  </w:rPr>
                  <m:t>Cart</m:t>
                </m:r>
                <m:r>
                  <m:rPr>
                    <m:sty m:val="p"/>
                  </m:rPr>
                  <w:rPr>
                    <w:rFonts w:ascii="Cambria Math" w:hAnsi="Cambria Math"/>
                  </w:rPr>
                  <m:t>õ</m:t>
                </m:r>
                <m:r>
                  <w:rPr>
                    <w:rFonts w:ascii="Cambria Math" w:hAnsi="Cambria Math"/>
                  </w:rPr>
                  <m:t>es</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Pagamentos</m:t>
                </m:r>
                <m:r>
                  <m:rPr>
                    <m:sty m:val="p"/>
                  </m:rPr>
                  <w:rPr>
                    <w:rFonts w:ascii="Cambria Math" w:hAnsi="Cambria Math"/>
                  </w:rPr>
                  <m:t>=</m:t>
                </m:r>
                <m:f>
                  <m:fPr>
                    <m:ctrlPr>
                      <w:rPr>
                        <w:rFonts w:ascii="Cambria Math" w:hAnsi="Cambria Math"/>
                      </w:rPr>
                    </m:ctrlPr>
                  </m:fPr>
                  <m:num>
                    <m:r>
                      <w:rPr>
                        <w:rFonts w:ascii="Cambria Math" w:hAnsi="Cambria Math"/>
                      </w:rPr>
                      <m:t>Cart</m:t>
                    </m:r>
                    <m:r>
                      <m:rPr>
                        <m:sty m:val="p"/>
                      </m:rPr>
                      <w:rPr>
                        <w:rFonts w:ascii="Cambria Math" w:hAnsi="Cambria Math"/>
                      </w:rPr>
                      <m:t>õ</m:t>
                    </m:r>
                    <m:r>
                      <w:rPr>
                        <w:rFonts w:ascii="Cambria Math" w:hAnsi="Cambria Math"/>
                      </w:rPr>
                      <m:t>es</m:t>
                    </m:r>
                    <m:r>
                      <m:rPr>
                        <m:sty m:val="p"/>
                      </m:rPr>
                      <w:rPr>
                        <w:rFonts w:ascii="Cambria Math" w:hAnsi="Cambria Math"/>
                      </w:rPr>
                      <m:t xml:space="preserve"> </m:t>
                    </m:r>
                    <m:r>
                      <w:rPr>
                        <w:rFonts w:ascii="Cambria Math" w:hAnsi="Cambria Math"/>
                      </w:rPr>
                      <m:t>Vivos</m:t>
                    </m:r>
                  </m:num>
                  <m:den>
                    <m:r>
                      <w:rPr>
                        <w:rFonts w:ascii="Cambria Math" w:hAnsi="Cambria Math"/>
                      </w:rPr>
                      <m:t>Cart</m:t>
                    </m:r>
                    <m:r>
                      <m:rPr>
                        <m:sty m:val="p"/>
                      </m:rPr>
                      <w:rPr>
                        <w:rFonts w:ascii="Cambria Math" w:hAnsi="Cambria Math"/>
                      </w:rPr>
                      <m:t>õ</m:t>
                    </m:r>
                    <m:r>
                      <w:rPr>
                        <w:rFonts w:ascii="Cambria Math" w:hAnsi="Cambria Math"/>
                      </w:rPr>
                      <m:t>es</m:t>
                    </m:r>
                    <m:r>
                      <m:rPr>
                        <m:sty m:val="p"/>
                      </m:rPr>
                      <w:rPr>
                        <w:rFonts w:ascii="Cambria Math" w:hAnsi="Cambria Math"/>
                      </w:rPr>
                      <m:t xml:space="preserve"> </m:t>
                    </m:r>
                    <m:r>
                      <w:rPr>
                        <w:rFonts w:ascii="Cambria Math" w:hAnsi="Cambria Math"/>
                      </w:rPr>
                      <m:t>V</m:t>
                    </m:r>
                    <m:r>
                      <m:rPr>
                        <m:sty m:val="p"/>
                      </m:rPr>
                      <w:rPr>
                        <w:rFonts w:ascii="Cambria Math" w:hAnsi="Cambria Math"/>
                      </w:rPr>
                      <m:t>á</m:t>
                    </m:r>
                    <m:r>
                      <w:rPr>
                        <w:rFonts w:ascii="Cambria Math" w:hAnsi="Cambria Math"/>
                      </w:rPr>
                      <m:t>lidos</m:t>
                    </m:r>
                  </m:den>
                </m:f>
              </m:oMath>
            </m:oMathPara>
          </w:p>
        </w:tc>
      </w:tr>
      <w:tr w:rsidR="004D0BDA" w:rsidRPr="004D0BDA" w:rsidTr="00027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tcPr>
          <w:p w:rsidR="004D0BDA" w:rsidRPr="004D0BDA" w:rsidRDefault="004D0BDA" w:rsidP="00FD4EDA">
            <w:pPr>
              <w:spacing w:before="240" w:after="240"/>
              <w:contextualSpacing/>
              <w:jc w:val="left"/>
              <w:rPr>
                <w:rFonts w:cs="Times New Roman"/>
                <w:b/>
                <w:sz w:val="20"/>
                <w:szCs w:val="20"/>
              </w:rPr>
            </w:pPr>
            <w:r w:rsidRPr="004D0BDA">
              <w:rPr>
                <w:b/>
              </w:rPr>
              <w:t>Índice de Actividade dos Terminais de Pagamento Automáticos</w:t>
            </w:r>
          </w:p>
        </w:tc>
        <w:tc>
          <w:tcPr>
            <w:tcW w:w="3538" w:type="pct"/>
          </w:tcPr>
          <w:p w:rsidR="004D0BDA" w:rsidRPr="004D0BDA" w:rsidRDefault="004D0BDA" w:rsidP="00027F25">
            <w:pPr>
              <w:spacing w:before="240" w:after="24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D0BDA">
              <w:t>É o equivalente ao rácio de TPAs activos sobre os TPAs matriculados</w:t>
            </w:r>
          </w:p>
          <w:p w:rsidR="004D0BDA" w:rsidRPr="004D0BDA" w:rsidRDefault="004D0BDA" w:rsidP="00027F25">
            <w:pPr>
              <w:spacing w:before="240" w:after="240"/>
              <w:contextualSpacing/>
              <w:cnfStyle w:val="000000100000" w:firstRow="0" w:lastRow="0" w:firstColumn="0" w:lastColumn="0" w:oddVBand="0" w:evenVBand="0" w:oddHBand="1" w:evenHBand="0" w:firstRowFirstColumn="0" w:firstRowLastColumn="0" w:lastRowFirstColumn="0" w:lastRowLastColumn="0"/>
            </w:pPr>
            <m:oMathPara>
              <m:oMathParaPr>
                <m:jc m:val="left"/>
              </m:oMathParaPr>
              <m:oMath>
                <m:r>
                  <m:rPr>
                    <m:sty m:val="p"/>
                  </m:rPr>
                  <w:rPr>
                    <w:rFonts w:ascii="Cambria Math" w:hAnsi="Cambria Math"/>
                  </w:rPr>
                  <m:t>Í</m:t>
                </m:r>
                <m:r>
                  <w:rPr>
                    <w:rFonts w:ascii="Cambria Math" w:hAnsi="Cambria Math"/>
                  </w:rPr>
                  <m:t>ndice</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Actividade</m:t>
                </m:r>
                <m:r>
                  <m:rPr>
                    <m:sty m:val="p"/>
                  </m:rPr>
                  <w:rPr>
                    <w:rFonts w:ascii="Cambria Math" w:hAnsi="Cambria Math"/>
                  </w:rPr>
                  <m:t xml:space="preserve"> </m:t>
                </m:r>
                <m:r>
                  <w:rPr>
                    <w:rFonts w:ascii="Cambria Math" w:hAnsi="Cambria Math"/>
                  </w:rPr>
                  <m:t>dos</m:t>
                </m:r>
                <m:r>
                  <m:rPr>
                    <m:sty m:val="p"/>
                  </m:rPr>
                  <w:rPr>
                    <w:rFonts w:ascii="Cambria Math" w:hAnsi="Cambria Math"/>
                  </w:rPr>
                  <m:t xml:space="preserve"> </m:t>
                </m:r>
                <m:r>
                  <w:rPr>
                    <w:rFonts w:ascii="Cambria Math" w:hAnsi="Cambria Math"/>
                  </w:rPr>
                  <m:t>Terminais de</m:t>
                </m:r>
                <m:r>
                  <m:rPr>
                    <m:sty m:val="p"/>
                  </m:rPr>
                  <w:rPr>
                    <w:rFonts w:ascii="Cambria Math" w:hAnsi="Cambria Math"/>
                  </w:rPr>
                  <m:t xml:space="preserve"> </m:t>
                </m:r>
                <m:r>
                  <w:rPr>
                    <w:rFonts w:ascii="Cambria Math" w:hAnsi="Cambria Math"/>
                  </w:rPr>
                  <m:t>Pagamentos Automáticos</m:t>
                </m:r>
                <m:r>
                  <m:rPr>
                    <m:sty m:val="p"/>
                  </m:rPr>
                  <w:rPr>
                    <w:rFonts w:ascii="Cambria Math" w:hAnsi="Cambria Math"/>
                  </w:rPr>
                  <m:t>=</m:t>
                </m:r>
                <m:f>
                  <m:fPr>
                    <m:ctrlPr>
                      <w:rPr>
                        <w:rFonts w:ascii="Cambria Math" w:hAnsi="Cambria Math"/>
                      </w:rPr>
                    </m:ctrlPr>
                  </m:fPr>
                  <m:num>
                    <m:r>
                      <w:rPr>
                        <w:rFonts w:ascii="Cambria Math" w:hAnsi="Cambria Math"/>
                      </w:rPr>
                      <m:t>TPAs Activos</m:t>
                    </m:r>
                  </m:num>
                  <m:den>
                    <m:r>
                      <w:rPr>
                        <w:rFonts w:ascii="Cambria Math" w:hAnsi="Cambria Math"/>
                      </w:rPr>
                      <m:t>TPAs Matriculados</m:t>
                    </m:r>
                  </m:den>
                </m:f>
              </m:oMath>
            </m:oMathPara>
          </w:p>
        </w:tc>
      </w:tr>
      <w:tr w:rsidR="004D0BDA" w:rsidRPr="004D0BDA" w:rsidTr="00027F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tcPr>
          <w:p w:rsidR="004D0BDA" w:rsidRPr="004D0BDA" w:rsidRDefault="004D0BDA" w:rsidP="00FD4EDA">
            <w:pPr>
              <w:spacing w:before="240" w:after="240"/>
              <w:contextualSpacing/>
              <w:jc w:val="left"/>
              <w:rPr>
                <w:b/>
              </w:rPr>
            </w:pPr>
            <w:r w:rsidRPr="004D0BDA">
              <w:rPr>
                <w:b/>
              </w:rPr>
              <w:t>Índice de Herfindahl Hirschman</w:t>
            </w:r>
          </w:p>
        </w:tc>
        <w:tc>
          <w:tcPr>
            <w:tcW w:w="3538" w:type="pct"/>
            <w:vAlign w:val="bottom"/>
          </w:tcPr>
          <w:p w:rsidR="004D0BDA" w:rsidRPr="004D0BDA" w:rsidRDefault="004D0BDA" w:rsidP="00027F25">
            <w:pPr>
              <w:spacing w:before="240" w:after="240"/>
              <w:contextualSpacing/>
              <w:cnfStyle w:val="000000010000" w:firstRow="0" w:lastRow="0" w:firstColumn="0" w:lastColumn="0" w:oddVBand="0" w:evenVBand="0" w:oddHBand="0" w:evenHBand="1" w:firstRowFirstColumn="0" w:firstRowLastColumn="0" w:lastRowFirstColumn="0" w:lastRowLastColumn="0"/>
              <w:rPr>
                <w:b/>
              </w:rPr>
            </w:pPr>
            <w:r w:rsidRPr="004D0BDA">
              <w:t xml:space="preserve">O índice de Herfindahl Hirschman (IHH) avalia o grau de concentração do mercado relevante, sendo calculado pela soma </w:t>
            </w:r>
            <w:r w:rsidRPr="004D0BDA">
              <w:lastRenderedPageBreak/>
              <w:t>do quadrado das quotas de mercado individuais dos bancos. Foi medida em termos de quota de mercado dos activos, créditos, depósitos, número de balcões e número de terminais automáticos. A Comissão Federal de Comércio dos Estados Unidos da América</w:t>
            </w:r>
            <w:sdt>
              <w:sdtPr>
                <w:id w:val="-750817860"/>
                <w:citation/>
              </w:sdtPr>
              <w:sdtContent>
                <w:r w:rsidRPr="004D0BDA">
                  <w:fldChar w:fldCharType="begin"/>
                </w:r>
                <w:r w:rsidRPr="004D0BDA">
                  <w:instrText xml:space="preserve"> CITATION USD10 \l 2070 </w:instrText>
                </w:r>
                <w:r w:rsidRPr="004D0BDA">
                  <w:fldChar w:fldCharType="separate"/>
                </w:r>
                <w:r w:rsidRPr="004D0BDA">
                  <w:rPr>
                    <w:noProof/>
                  </w:rPr>
                  <w:t xml:space="preserve"> [3]</w:t>
                </w:r>
                <w:r w:rsidRPr="004D0BDA">
                  <w:fldChar w:fldCharType="end"/>
                </w:r>
              </w:sdtContent>
            </w:sdt>
            <w:r w:rsidRPr="004D0BDA">
              <w:t xml:space="preserve"> considera que </w:t>
            </w:r>
            <w:proofErr w:type="gramStart"/>
            <w:r w:rsidRPr="004D0BDA">
              <w:t>IHH&lt;1500</w:t>
            </w:r>
            <w:proofErr w:type="gramEnd"/>
            <w:r w:rsidRPr="004D0BDA">
              <w:t xml:space="preserve"> indica baixa concentração, 1500&lt;IHH&lt;2500 indica concentração moderada e IHH &gt; 2500 indica concentração elevada.</w:t>
            </w:r>
          </w:p>
        </w:tc>
      </w:tr>
      <w:tr w:rsidR="004D0BDA" w:rsidRPr="004D0BDA" w:rsidTr="00027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tcPr>
          <w:p w:rsidR="004D0BDA" w:rsidRPr="004D0BDA" w:rsidRDefault="004D0BDA" w:rsidP="00FD4EDA">
            <w:pPr>
              <w:spacing w:before="240" w:after="240"/>
              <w:contextualSpacing/>
              <w:jc w:val="left"/>
              <w:rPr>
                <w:b/>
              </w:rPr>
            </w:pPr>
            <w:r w:rsidRPr="004D0BDA">
              <w:rPr>
                <w:b/>
              </w:rPr>
              <w:lastRenderedPageBreak/>
              <w:t>Financiamento do Activo Financeiro</w:t>
            </w:r>
          </w:p>
        </w:tc>
        <w:tc>
          <w:tcPr>
            <w:tcW w:w="3538" w:type="pct"/>
          </w:tcPr>
          <w:p w:rsidR="004D0BDA" w:rsidRPr="004D0BDA" w:rsidRDefault="004D0BDA" w:rsidP="00027F25">
            <w:pPr>
              <w:spacing w:before="240" w:after="240"/>
              <w:contextualSpacing/>
              <w:cnfStyle w:val="000000100000" w:firstRow="0" w:lastRow="0" w:firstColumn="0" w:lastColumn="0" w:oddVBand="0" w:evenVBand="0" w:oddHBand="1" w:evenHBand="0" w:firstRowFirstColumn="0" w:firstRowLastColumn="0" w:lastRowFirstColumn="0" w:lastRowLastColumn="0"/>
              <w:rPr>
                <w:b/>
                <w:i/>
              </w:rPr>
            </w:pPr>
            <m:oMathPara>
              <m:oMathParaPr>
                <m:jc m:val="left"/>
              </m:oMathParaPr>
              <m:oMath>
                <m:r>
                  <w:rPr>
                    <w:rFonts w:ascii="Cambria Math" w:hAnsi="Cambria Math"/>
                  </w:rPr>
                  <m:t>Financiamento do Activo Financeiro = Passivo Financeiro/Activo Total</m:t>
                </m:r>
              </m:oMath>
            </m:oMathPara>
          </w:p>
        </w:tc>
      </w:tr>
      <w:tr w:rsidR="004D0BDA" w:rsidRPr="004D0BDA" w:rsidTr="00027F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tcPr>
          <w:p w:rsidR="004D0BDA" w:rsidRPr="004D0BDA" w:rsidRDefault="004D0BDA" w:rsidP="00FD4EDA">
            <w:pPr>
              <w:spacing w:before="240" w:after="240"/>
              <w:contextualSpacing/>
              <w:jc w:val="left"/>
              <w:rPr>
                <w:b/>
              </w:rPr>
            </w:pPr>
            <w:r w:rsidRPr="004D0BDA">
              <w:rPr>
                <w:b/>
              </w:rPr>
              <w:t>Liquidez Reduzida</w:t>
            </w:r>
          </w:p>
        </w:tc>
        <w:tc>
          <w:tcPr>
            <w:tcW w:w="3538" w:type="pct"/>
          </w:tcPr>
          <w:p w:rsidR="004D0BDA" w:rsidRPr="004D0BDA" w:rsidRDefault="004D0BDA" w:rsidP="00027F25">
            <w:pPr>
              <w:spacing w:before="240" w:after="240"/>
              <w:contextualSpacing/>
              <w:cnfStyle w:val="000000010000" w:firstRow="0" w:lastRow="0" w:firstColumn="0" w:lastColumn="0" w:oddVBand="0" w:evenVBand="0" w:oddHBand="0" w:evenHBand="1" w:firstRowFirstColumn="0" w:firstRowLastColumn="0" w:lastRowFirstColumn="0" w:lastRowLastColumn="0"/>
              <w:rPr>
                <w:b/>
                <w:i/>
              </w:rPr>
            </w:pPr>
            <m:oMathPara>
              <m:oMathParaPr>
                <m:jc m:val="left"/>
              </m:oMathParaPr>
              <m:oMath>
                <m:r>
                  <w:rPr>
                    <w:rFonts w:ascii="Cambria Math" w:hAnsi="Cambria Math"/>
                  </w:rPr>
                  <m:t>Liquidez Reduzida = Disponibilidades / Passivo Financeiro</m:t>
                </m:r>
              </m:oMath>
            </m:oMathPara>
          </w:p>
        </w:tc>
      </w:tr>
      <w:tr w:rsidR="004D0BDA" w:rsidRPr="004D0BDA" w:rsidTr="00027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tcPr>
          <w:p w:rsidR="004D0BDA" w:rsidRPr="004D0BDA" w:rsidRDefault="004D0BDA" w:rsidP="00FD4EDA">
            <w:pPr>
              <w:spacing w:before="240" w:after="240"/>
              <w:contextualSpacing/>
              <w:jc w:val="left"/>
              <w:rPr>
                <w:b/>
              </w:rPr>
            </w:pPr>
            <w:r w:rsidRPr="004D0BDA">
              <w:rPr>
                <w:b/>
              </w:rPr>
              <w:t>Liquidez de Curto Prazo</w:t>
            </w:r>
          </w:p>
        </w:tc>
        <w:tc>
          <w:tcPr>
            <w:tcW w:w="3538" w:type="pct"/>
          </w:tcPr>
          <w:p w:rsidR="004D0BDA" w:rsidRPr="004D0BDA" w:rsidRDefault="004D0BDA" w:rsidP="00027F25">
            <w:pPr>
              <w:spacing w:before="240" w:after="240"/>
              <w:contextualSpacing/>
              <w:cnfStyle w:val="000000100000" w:firstRow="0" w:lastRow="0" w:firstColumn="0" w:lastColumn="0" w:oddVBand="0" w:evenVBand="0" w:oddHBand="1" w:evenHBand="0" w:firstRowFirstColumn="0" w:firstRowLastColumn="0" w:lastRowFirstColumn="0" w:lastRowLastColumn="0"/>
              <w:rPr>
                <w:b/>
                <w:i/>
              </w:rPr>
            </w:pPr>
            <m:oMathPara>
              <m:oMathParaPr>
                <m:jc m:val="left"/>
              </m:oMathParaPr>
              <m:oMath>
                <m:r>
                  <w:rPr>
                    <w:rFonts w:ascii="Cambria Math" w:hAnsi="Cambria Math"/>
                  </w:rPr>
                  <m:t>Liquidez de Curto Prazo =</m:t>
                </m:r>
                <m:f>
                  <m:fPr>
                    <m:ctrlPr>
                      <w:rPr>
                        <w:rFonts w:ascii="Cambria Math" w:hAnsi="Cambria Math"/>
                        <w:i/>
                      </w:rPr>
                    </m:ctrlPr>
                  </m:fPr>
                  <m:num>
                    <m:d>
                      <m:dPr>
                        <m:ctrlPr>
                          <w:rPr>
                            <w:rFonts w:ascii="Cambria Math" w:hAnsi="Cambria Math"/>
                            <w:i/>
                          </w:rPr>
                        </m:ctrlPr>
                      </m:dPr>
                      <m:e>
                        <m:r>
                          <w:rPr>
                            <w:rFonts w:ascii="Cambria Math" w:hAnsi="Cambria Math"/>
                          </w:rPr>
                          <m:t>Aplicações de Liquidez+Títulos e Valores Mobiliários</m:t>
                        </m:r>
                      </m:e>
                    </m:d>
                    <m:ctrlPr>
                      <w:rPr>
                        <w:rFonts w:ascii="Cambria Math" w:hAnsi="Cambria Math"/>
                        <w:b/>
                        <w:i/>
                      </w:rPr>
                    </m:ctrlPr>
                  </m:num>
                  <m:den>
                    <m:r>
                      <w:rPr>
                        <w:rFonts w:ascii="Cambria Math" w:hAnsi="Cambria Math"/>
                      </w:rPr>
                      <m:t>ActivoTotal</m:t>
                    </m:r>
                  </m:den>
                </m:f>
              </m:oMath>
            </m:oMathPara>
          </w:p>
        </w:tc>
      </w:tr>
      <w:tr w:rsidR="004D0BDA" w:rsidRPr="004D0BDA" w:rsidTr="00027F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tcPr>
          <w:p w:rsidR="004D0BDA" w:rsidRPr="004D0BDA" w:rsidRDefault="004D0BDA" w:rsidP="00FD4EDA">
            <w:pPr>
              <w:spacing w:before="240" w:after="240"/>
              <w:contextualSpacing/>
              <w:jc w:val="left"/>
              <w:rPr>
                <w:b/>
              </w:rPr>
            </w:pPr>
            <w:r w:rsidRPr="004D0BDA">
              <w:rPr>
                <w:b/>
              </w:rPr>
              <w:t>Não Residente Cambial</w:t>
            </w:r>
          </w:p>
        </w:tc>
        <w:tc>
          <w:tcPr>
            <w:tcW w:w="3538" w:type="pct"/>
          </w:tcPr>
          <w:p w:rsidR="004D0BDA" w:rsidRPr="004D0BDA" w:rsidRDefault="004D0BDA" w:rsidP="00027F25">
            <w:pPr>
              <w:contextualSpacing/>
              <w:cnfStyle w:val="000000010000" w:firstRow="0" w:lastRow="0" w:firstColumn="0" w:lastColumn="0" w:oddVBand="0" w:evenVBand="0" w:oddHBand="0" w:evenHBand="1" w:firstRowFirstColumn="0" w:firstRowLastColumn="0" w:lastRowFirstColumn="0" w:lastRowLastColumn="0"/>
              <w:rPr>
                <w:rFonts w:eastAsia="Times New Roman" w:cs="Times New Roman"/>
              </w:rPr>
            </w:pPr>
            <w:r w:rsidRPr="004D0BDA">
              <w:rPr>
                <w:rFonts w:eastAsia="Times New Roman" w:cs="Times New Roman"/>
              </w:rPr>
              <w:t>Segundo a Lei Cambial, Lei nº 5/97 de 27 de Junho, consideram-se não residentes cambiais em território nacional:</w:t>
            </w:r>
          </w:p>
          <w:p w:rsidR="004D0BDA" w:rsidRPr="004D0BDA" w:rsidRDefault="004D0BDA" w:rsidP="004D0BDA">
            <w:pPr>
              <w:pStyle w:val="PargrafodaLista"/>
              <w:numPr>
                <w:ilvl w:val="0"/>
                <w:numId w:val="4"/>
              </w:numPr>
              <w:ind w:left="317" w:hanging="284"/>
              <w:cnfStyle w:val="000000010000" w:firstRow="0" w:lastRow="0" w:firstColumn="0" w:lastColumn="0" w:oddVBand="0" w:evenVBand="0" w:oddHBand="0" w:evenHBand="1" w:firstRowFirstColumn="0" w:firstRowLastColumn="0" w:lastRowFirstColumn="0" w:lastRowLastColumn="0"/>
              <w:rPr>
                <w:rFonts w:eastAsia="Times New Roman" w:cs="Times New Roman"/>
              </w:rPr>
            </w:pPr>
            <w:r w:rsidRPr="004D0BDA">
              <w:rPr>
                <w:rFonts w:eastAsia="Times New Roman" w:cs="Times New Roman"/>
              </w:rPr>
              <w:t>As pessoas singulares com residência habitual no estrangeiro;</w:t>
            </w:r>
          </w:p>
          <w:p w:rsidR="004D0BDA" w:rsidRPr="004D0BDA" w:rsidRDefault="004D0BDA" w:rsidP="004D0BDA">
            <w:pPr>
              <w:pStyle w:val="PargrafodaLista"/>
              <w:numPr>
                <w:ilvl w:val="0"/>
                <w:numId w:val="4"/>
              </w:numPr>
              <w:ind w:left="317" w:hanging="284"/>
              <w:cnfStyle w:val="000000010000" w:firstRow="0" w:lastRow="0" w:firstColumn="0" w:lastColumn="0" w:oddVBand="0" w:evenVBand="0" w:oddHBand="0" w:evenHBand="1" w:firstRowFirstColumn="0" w:firstRowLastColumn="0" w:lastRowFirstColumn="0" w:lastRowLastColumn="0"/>
              <w:rPr>
                <w:rFonts w:eastAsia="Times New Roman" w:cs="Times New Roman"/>
              </w:rPr>
            </w:pPr>
            <w:r w:rsidRPr="004D0BDA">
              <w:rPr>
                <w:rFonts w:eastAsia="Times New Roman" w:cs="Times New Roman"/>
              </w:rPr>
              <w:t>As pessoas colectivas com sede no estrangeiro;</w:t>
            </w:r>
          </w:p>
          <w:p w:rsidR="004D0BDA" w:rsidRPr="004D0BDA" w:rsidRDefault="004D0BDA" w:rsidP="004D0BDA">
            <w:pPr>
              <w:pStyle w:val="PargrafodaLista"/>
              <w:numPr>
                <w:ilvl w:val="0"/>
                <w:numId w:val="4"/>
              </w:numPr>
              <w:ind w:left="317" w:hanging="284"/>
              <w:cnfStyle w:val="000000010000" w:firstRow="0" w:lastRow="0" w:firstColumn="0" w:lastColumn="0" w:oddVBand="0" w:evenVBand="0" w:oddHBand="0" w:evenHBand="1" w:firstRowFirstColumn="0" w:firstRowLastColumn="0" w:lastRowFirstColumn="0" w:lastRowLastColumn="0"/>
              <w:rPr>
                <w:rFonts w:eastAsia="Times New Roman" w:cs="Times New Roman"/>
              </w:rPr>
            </w:pPr>
            <w:r w:rsidRPr="004D0BDA">
              <w:rPr>
                <w:rFonts w:eastAsia="Times New Roman" w:cs="Times New Roman"/>
              </w:rPr>
              <w:t>As pessoas singulares que emigrarem;</w:t>
            </w:r>
          </w:p>
          <w:p w:rsidR="004D0BDA" w:rsidRPr="004D0BDA" w:rsidRDefault="004D0BDA" w:rsidP="004D0BDA">
            <w:pPr>
              <w:pStyle w:val="PargrafodaLista"/>
              <w:numPr>
                <w:ilvl w:val="0"/>
                <w:numId w:val="4"/>
              </w:numPr>
              <w:ind w:left="317" w:hanging="284"/>
              <w:cnfStyle w:val="000000010000" w:firstRow="0" w:lastRow="0" w:firstColumn="0" w:lastColumn="0" w:oddVBand="0" w:evenVBand="0" w:oddHBand="0" w:evenHBand="1" w:firstRowFirstColumn="0" w:firstRowLastColumn="0" w:lastRowFirstColumn="0" w:lastRowLastColumn="0"/>
              <w:rPr>
                <w:rFonts w:eastAsia="Times New Roman" w:cs="Times New Roman"/>
              </w:rPr>
            </w:pPr>
            <w:r w:rsidRPr="004D0BDA">
              <w:rPr>
                <w:rFonts w:eastAsia="Times New Roman" w:cs="Times New Roman"/>
              </w:rPr>
              <w:t>As pessoas singulares que se ausentarem do país por período superior a 1 ano;</w:t>
            </w:r>
          </w:p>
          <w:p w:rsidR="004D0BDA" w:rsidRPr="004D0BDA" w:rsidRDefault="004D0BDA" w:rsidP="004D0BDA">
            <w:pPr>
              <w:pStyle w:val="PargrafodaLista"/>
              <w:numPr>
                <w:ilvl w:val="0"/>
                <w:numId w:val="4"/>
              </w:numPr>
              <w:ind w:left="317" w:hanging="284"/>
              <w:cnfStyle w:val="000000010000" w:firstRow="0" w:lastRow="0" w:firstColumn="0" w:lastColumn="0" w:oddVBand="0" w:evenVBand="0" w:oddHBand="0" w:evenHBand="1" w:firstRowFirstColumn="0" w:firstRowLastColumn="0" w:lastRowFirstColumn="0" w:lastRowLastColumn="0"/>
              <w:rPr>
                <w:rFonts w:eastAsia="Times New Roman" w:cs="Times New Roman"/>
              </w:rPr>
            </w:pPr>
            <w:r w:rsidRPr="004D0BDA">
              <w:rPr>
                <w:rFonts w:eastAsia="Times New Roman" w:cs="Times New Roman"/>
              </w:rPr>
              <w:t>As filiais, sucursais, agências ou quaisquer formas de representação em território estrangeiro de pessoas colectivas com sede no país;</w:t>
            </w:r>
          </w:p>
          <w:p w:rsidR="004D0BDA" w:rsidRPr="004D0BDA" w:rsidRDefault="004D0BDA" w:rsidP="004D0BDA">
            <w:pPr>
              <w:pStyle w:val="PargrafodaLista"/>
              <w:numPr>
                <w:ilvl w:val="0"/>
                <w:numId w:val="4"/>
              </w:numPr>
              <w:ind w:left="317" w:hanging="284"/>
              <w:cnfStyle w:val="000000010000" w:firstRow="0" w:lastRow="0" w:firstColumn="0" w:lastColumn="0" w:oddVBand="0" w:evenVBand="0" w:oddHBand="0" w:evenHBand="1" w:firstRowFirstColumn="0" w:firstRowLastColumn="0" w:lastRowFirstColumn="0" w:lastRowLastColumn="0"/>
              <w:rPr>
                <w:rFonts w:eastAsia="Times New Roman" w:cs="Times New Roman"/>
              </w:rPr>
            </w:pPr>
            <w:r w:rsidRPr="004D0BDA">
              <w:rPr>
                <w:rFonts w:eastAsia="Times New Roman" w:cs="Times New Roman"/>
              </w:rPr>
              <w:t>Os diplomatas, representantes consulares ou equiparados, agindo em território nacional, bem como os membros das respectivas famílias;</w:t>
            </w:r>
          </w:p>
        </w:tc>
      </w:tr>
      <w:tr w:rsidR="004D0BDA" w:rsidRPr="004D0BDA" w:rsidTr="00027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tcPr>
          <w:p w:rsidR="004D0BDA" w:rsidRPr="004D0BDA" w:rsidRDefault="004D0BDA" w:rsidP="00FD4EDA">
            <w:pPr>
              <w:spacing w:before="240" w:after="240"/>
              <w:contextualSpacing/>
              <w:jc w:val="left"/>
              <w:rPr>
                <w:b/>
              </w:rPr>
            </w:pPr>
            <w:r w:rsidRPr="004D0BDA">
              <w:rPr>
                <w:b/>
              </w:rPr>
              <w:t>Nível de Cobertura das Reservas Líquidas</w:t>
            </w:r>
          </w:p>
        </w:tc>
        <w:tc>
          <w:tcPr>
            <w:tcW w:w="3538" w:type="pct"/>
          </w:tcPr>
          <w:p w:rsidR="004D0BDA" w:rsidRPr="004D0BDA" w:rsidRDefault="004D0BDA" w:rsidP="00027F25">
            <w:pPr>
              <w:spacing w:before="240" w:after="240"/>
              <w:contextualSpacing/>
              <w:cnfStyle w:val="000000100000" w:firstRow="0" w:lastRow="0" w:firstColumn="0" w:lastColumn="0" w:oddVBand="0" w:evenVBand="0" w:oddHBand="1" w:evenHBand="0" w:firstRowFirstColumn="0" w:firstRowLastColumn="0" w:lastRowFirstColumn="0" w:lastRowLastColumn="0"/>
              <w:rPr>
                <w:b/>
                <w:i/>
              </w:rPr>
            </w:pPr>
            <m:oMathPara>
              <m:oMathParaPr>
                <m:jc m:val="left"/>
              </m:oMathParaPr>
              <m:oMath>
                <m:r>
                  <w:rPr>
                    <w:rFonts w:ascii="Cambria Math" w:hAnsi="Cambria Math"/>
                  </w:rPr>
                  <m:t xml:space="preserve">Nível de Cobertura das Reservas Líquidas = </m:t>
                </m:r>
                <m:f>
                  <m:fPr>
                    <m:ctrlPr>
                      <w:rPr>
                        <w:rFonts w:ascii="Cambria Math" w:hAnsi="Cambria Math"/>
                        <w:i/>
                      </w:rPr>
                    </m:ctrlPr>
                  </m:fPr>
                  <m:num>
                    <m:r>
                      <w:rPr>
                        <w:rFonts w:ascii="Cambria Math" w:hAnsi="Cambria Math"/>
                      </w:rPr>
                      <m:t>Reservas Brutas</m:t>
                    </m:r>
                  </m:num>
                  <m:den>
                    <m:r>
                      <w:rPr>
                        <w:rFonts w:ascii="Cambria Math" w:hAnsi="Cambria Math"/>
                      </w:rPr>
                      <m:t>Meses de Importações de Bens</m:t>
                    </m:r>
                  </m:den>
                </m:f>
              </m:oMath>
            </m:oMathPara>
          </w:p>
        </w:tc>
      </w:tr>
      <w:tr w:rsidR="004D0BDA" w:rsidRPr="004D0BDA" w:rsidTr="00027F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tcPr>
          <w:p w:rsidR="004D0BDA" w:rsidRPr="004D0BDA" w:rsidRDefault="004D0BDA" w:rsidP="00FD4EDA">
            <w:pPr>
              <w:spacing w:after="240"/>
              <w:contextualSpacing/>
              <w:jc w:val="left"/>
              <w:rPr>
                <w:b/>
              </w:rPr>
            </w:pPr>
            <w:r w:rsidRPr="004D0BDA">
              <w:rPr>
                <w:b/>
              </w:rPr>
              <w:t>Outros Activos Remunerados</w:t>
            </w:r>
          </w:p>
        </w:tc>
        <w:tc>
          <w:tcPr>
            <w:tcW w:w="3538" w:type="pct"/>
          </w:tcPr>
          <w:p w:rsidR="004D0BDA" w:rsidRPr="004D0BDA" w:rsidRDefault="004D0BDA" w:rsidP="00027F25">
            <w:pPr>
              <w:pStyle w:val="Citao"/>
              <w:spacing w:before="0"/>
              <w:jc w:val="both"/>
              <w:cnfStyle w:val="000000010000" w:firstRow="0" w:lastRow="0" w:firstColumn="0" w:lastColumn="0" w:oddVBand="0" w:evenVBand="0" w:oddHBand="0" w:evenHBand="1" w:firstRowFirstColumn="0" w:firstRowLastColumn="0" w:lastRowFirstColumn="0" w:lastRowLastColumn="0"/>
              <w:rPr>
                <w:b/>
                <w:i w:val="0"/>
              </w:rPr>
            </w:pPr>
            <m:oMathPara>
              <m:oMath>
                <m:r>
                  <w:rPr>
                    <w:rFonts w:ascii="Cambria Math" w:hAnsi="Cambria Math"/>
                  </w:rPr>
                  <m:t>Outros Activos Remunerados= Aplicações de Liquidez + Créditos no Sistema de Pagamentos + Instrumentos Derivados + Operações Cambiais</m:t>
                </m:r>
              </m:oMath>
            </m:oMathPara>
          </w:p>
        </w:tc>
      </w:tr>
      <w:tr w:rsidR="004D0BDA" w:rsidRPr="004D0BDA" w:rsidTr="00027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tcPr>
          <w:p w:rsidR="004D0BDA" w:rsidRPr="004D0BDA" w:rsidRDefault="004D0BDA" w:rsidP="00FD4EDA">
            <w:pPr>
              <w:spacing w:before="240" w:after="240"/>
              <w:contextualSpacing/>
              <w:jc w:val="left"/>
              <w:rPr>
                <w:b/>
              </w:rPr>
            </w:pPr>
            <w:r w:rsidRPr="004D0BDA">
              <w:rPr>
                <w:b/>
              </w:rPr>
              <w:t xml:space="preserve">Outros Activos Não </w:t>
            </w:r>
            <w:r w:rsidRPr="004D0BDA">
              <w:rPr>
                <w:b/>
              </w:rPr>
              <w:lastRenderedPageBreak/>
              <w:t>Remunerados</w:t>
            </w:r>
          </w:p>
        </w:tc>
        <w:tc>
          <w:tcPr>
            <w:tcW w:w="3538" w:type="pct"/>
          </w:tcPr>
          <w:p w:rsidR="004D0BDA" w:rsidRPr="004D0BDA" w:rsidRDefault="004D0BDA" w:rsidP="00027F25">
            <w:pPr>
              <w:spacing w:before="240" w:after="240"/>
              <w:contextualSpacing/>
              <w:cnfStyle w:val="000000100000" w:firstRow="0" w:lastRow="0" w:firstColumn="0" w:lastColumn="0" w:oddVBand="0" w:evenVBand="0" w:oddHBand="1" w:evenHBand="0" w:firstRowFirstColumn="0" w:firstRowLastColumn="0" w:lastRowFirstColumn="0" w:lastRowLastColumn="0"/>
              <w:rPr>
                <w:i/>
              </w:rPr>
            </w:pPr>
            <m:oMathPara>
              <m:oMathParaPr>
                <m:jc m:val="left"/>
              </m:oMathParaPr>
              <m:oMath>
                <m:r>
                  <w:rPr>
                    <w:rFonts w:ascii="Cambria Math" w:hAnsi="Cambria Math"/>
                  </w:rPr>
                  <w:lastRenderedPageBreak/>
                  <m:t>Outros Activos Não Remunerados =</m:t>
                </m:r>
              </m:oMath>
            </m:oMathPara>
          </w:p>
          <w:p w:rsidR="004D0BDA" w:rsidRPr="004D0BDA" w:rsidRDefault="004D0BDA" w:rsidP="00027F25">
            <w:pPr>
              <w:spacing w:before="240" w:after="240"/>
              <w:contextualSpacing/>
              <w:cnfStyle w:val="000000100000" w:firstRow="0" w:lastRow="0" w:firstColumn="0" w:lastColumn="0" w:oddVBand="0" w:evenVBand="0" w:oddHBand="1" w:evenHBand="0" w:firstRowFirstColumn="0" w:firstRowLastColumn="0" w:lastRowFirstColumn="0" w:lastRowLastColumn="0"/>
              <w:rPr>
                <w:b/>
                <w:i/>
              </w:rPr>
            </w:pPr>
            <m:oMathPara>
              <m:oMath>
                <m:r>
                  <w:rPr>
                    <w:rFonts w:ascii="Cambria Math" w:hAnsi="Cambria Math"/>
                  </w:rPr>
                  <w:lastRenderedPageBreak/>
                  <m:t>Outros valores + Inventário Comercial e Industrial + Imobilizações</m:t>
                </m:r>
              </m:oMath>
            </m:oMathPara>
          </w:p>
        </w:tc>
      </w:tr>
      <w:tr w:rsidR="004D0BDA" w:rsidRPr="004D0BDA" w:rsidTr="00027F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tcPr>
          <w:p w:rsidR="004D0BDA" w:rsidRPr="004D0BDA" w:rsidRDefault="004D0BDA" w:rsidP="00FD4EDA">
            <w:pPr>
              <w:spacing w:before="240" w:after="240"/>
              <w:contextualSpacing/>
              <w:jc w:val="left"/>
              <w:rPr>
                <w:b/>
              </w:rPr>
            </w:pPr>
            <w:r w:rsidRPr="004D0BDA">
              <w:rPr>
                <w:b/>
              </w:rPr>
              <w:lastRenderedPageBreak/>
              <w:t>Outros Custos e Prejuízos</w:t>
            </w:r>
          </w:p>
        </w:tc>
        <w:tc>
          <w:tcPr>
            <w:tcW w:w="3538" w:type="pct"/>
          </w:tcPr>
          <w:p w:rsidR="004D0BDA" w:rsidRPr="004D0BDA" w:rsidRDefault="004D0BDA" w:rsidP="00027F25">
            <w:pPr>
              <w:spacing w:before="240" w:after="240"/>
              <w:contextualSpacing/>
              <w:cnfStyle w:val="000000010000" w:firstRow="0" w:lastRow="0" w:firstColumn="0" w:lastColumn="0" w:oddVBand="0" w:evenVBand="0" w:oddHBand="0" w:evenHBand="1" w:firstRowFirstColumn="0" w:firstRowLastColumn="0" w:lastRowFirstColumn="0" w:lastRowLastColumn="0"/>
              <w:rPr>
                <w:i/>
              </w:rPr>
            </w:pPr>
            <m:oMathPara>
              <m:oMathParaPr>
                <m:jc m:val="left"/>
              </m:oMathParaPr>
              <m:oMath>
                <m:r>
                  <w:rPr>
                    <w:rFonts w:ascii="Cambria Math" w:hAnsi="Cambria Math"/>
                  </w:rPr>
                  <m:t>Outros Custos e Prejuízos = Impostos + Penalidades + Outros Custos Administrativos + Recuperação de Custos + Provisões para Perdas</m:t>
                </m:r>
              </m:oMath>
            </m:oMathPara>
          </w:p>
        </w:tc>
      </w:tr>
      <w:tr w:rsidR="004D0BDA" w:rsidRPr="004D0BDA" w:rsidTr="00027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tcPr>
          <w:p w:rsidR="004D0BDA" w:rsidRPr="004D0BDA" w:rsidRDefault="004D0BDA" w:rsidP="00FD4EDA">
            <w:pPr>
              <w:spacing w:before="240" w:after="240"/>
              <w:contextualSpacing/>
              <w:jc w:val="left"/>
              <w:rPr>
                <w:b/>
              </w:rPr>
            </w:pPr>
            <w:r w:rsidRPr="004D0BDA">
              <w:rPr>
                <w:b/>
              </w:rPr>
              <w:t>Passivo Financeiro</w:t>
            </w:r>
          </w:p>
        </w:tc>
        <w:tc>
          <w:tcPr>
            <w:tcW w:w="3538" w:type="pct"/>
          </w:tcPr>
          <w:p w:rsidR="004D0BDA" w:rsidRPr="004D0BDA" w:rsidRDefault="004D0BDA" w:rsidP="00027F25">
            <w:pPr>
              <w:spacing w:before="240" w:after="240"/>
              <w:contextualSpacing/>
              <w:cnfStyle w:val="000000100000" w:firstRow="0" w:lastRow="0" w:firstColumn="0" w:lastColumn="0" w:oddVBand="0" w:evenVBand="0" w:oddHBand="1" w:evenHBand="0" w:firstRowFirstColumn="0" w:firstRowLastColumn="0" w:lastRowFirstColumn="0" w:lastRowLastColumn="0"/>
              <w:rPr>
                <w:i/>
              </w:rPr>
            </w:pPr>
            <m:oMathPara>
              <m:oMathParaPr>
                <m:jc m:val="left"/>
              </m:oMathParaPr>
              <m:oMath>
                <m:r>
                  <w:rPr>
                    <w:rFonts w:ascii="Cambria Math" w:hAnsi="Cambria Math"/>
                  </w:rPr>
                  <m:t>P</m:t>
                </m:r>
                <m:r>
                  <w:rPr>
                    <w:rFonts w:ascii="Cambria Math" w:hAnsi="Cambria Math"/>
                  </w:rPr>
                  <m:t>assivo Financeiro = Passivo Total – (Adiantamento de Clientes + Outras Obrigações + Provisões para Responsabilidades Prováveis)</m:t>
                </m:r>
              </m:oMath>
            </m:oMathPara>
          </w:p>
        </w:tc>
      </w:tr>
      <w:tr w:rsidR="004D0BDA" w:rsidRPr="004D0BDA" w:rsidTr="00027F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tcPr>
          <w:p w:rsidR="004D0BDA" w:rsidRPr="004D0BDA" w:rsidRDefault="004D0BDA" w:rsidP="00FD4EDA">
            <w:pPr>
              <w:spacing w:before="240" w:after="240"/>
              <w:contextualSpacing/>
              <w:jc w:val="left"/>
              <w:rPr>
                <w:b/>
              </w:rPr>
            </w:pPr>
            <w:r w:rsidRPr="004D0BDA">
              <w:rPr>
                <w:b/>
              </w:rPr>
              <w:t>Posição Cambial</w:t>
            </w:r>
          </w:p>
        </w:tc>
        <w:tc>
          <w:tcPr>
            <w:tcW w:w="3538" w:type="pct"/>
          </w:tcPr>
          <w:p w:rsidR="004D0BDA" w:rsidRPr="004D0BDA" w:rsidRDefault="004D0BDA" w:rsidP="00027F25">
            <w:pPr>
              <w:spacing w:before="240" w:after="240"/>
              <w:contextualSpacing/>
              <w:cnfStyle w:val="000000010000" w:firstRow="0" w:lastRow="0" w:firstColumn="0" w:lastColumn="0" w:oddVBand="0" w:evenVBand="0" w:oddHBand="0" w:evenHBand="1" w:firstRowFirstColumn="0" w:firstRowLastColumn="0" w:lastRowFirstColumn="0" w:lastRowLastColumn="0"/>
              <w:rPr>
                <w:i/>
              </w:rPr>
            </w:pPr>
            <m:oMathPara>
              <m:oMathParaPr>
                <m:jc m:val="left"/>
              </m:oMathParaPr>
              <m:oMath>
                <m:r>
                  <w:rPr>
                    <w:rFonts w:ascii="Cambria Math" w:hAnsi="Cambria Math"/>
                  </w:rPr>
                  <m:t>Posição Cambial =Activo Total em ME-Passivo Total em ME</m:t>
                </m:r>
              </m:oMath>
            </m:oMathPara>
          </w:p>
          <w:p w:rsidR="004D0BDA" w:rsidRPr="004D0BDA" w:rsidRDefault="004D0BDA" w:rsidP="00027F25">
            <w:pPr>
              <w:spacing w:before="240" w:after="240"/>
              <w:contextualSpacing/>
              <w:cnfStyle w:val="000000010000" w:firstRow="0" w:lastRow="0" w:firstColumn="0" w:lastColumn="0" w:oddVBand="0" w:evenVBand="0" w:oddHBand="0" w:evenHBand="1" w:firstRowFirstColumn="0" w:firstRowLastColumn="0" w:lastRowFirstColumn="0" w:lastRowLastColumn="0"/>
              <w:rPr>
                <w:sz w:val="8"/>
              </w:rPr>
            </w:pPr>
          </w:p>
          <w:p w:rsidR="004D0BDA" w:rsidRPr="004D0BDA" w:rsidRDefault="004D0BDA" w:rsidP="00027F25">
            <w:pPr>
              <w:spacing w:before="240" w:after="240"/>
              <w:contextualSpacing/>
              <w:cnfStyle w:val="000000010000" w:firstRow="0" w:lastRow="0" w:firstColumn="0" w:lastColumn="0" w:oddVBand="0" w:evenVBand="0" w:oddHBand="0" w:evenHBand="1" w:firstRowFirstColumn="0" w:firstRowLastColumn="0" w:lastRowFirstColumn="0" w:lastRowLastColumn="0"/>
              <w:rPr>
                <w:b/>
              </w:rPr>
            </w:pPr>
            <w:r w:rsidRPr="004D0BDA">
              <w:t>A posição cambial é longa (curta) quando o total de activos (passivos) é superior ao total de passivos (activos).</w:t>
            </w:r>
          </w:p>
        </w:tc>
      </w:tr>
      <w:tr w:rsidR="004D0BDA" w:rsidRPr="004D0BDA" w:rsidTr="00027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tcPr>
          <w:p w:rsidR="004D0BDA" w:rsidRPr="004D0BDA" w:rsidRDefault="004D0BDA" w:rsidP="00FD4EDA">
            <w:pPr>
              <w:spacing w:before="240" w:after="240"/>
              <w:contextualSpacing/>
              <w:jc w:val="left"/>
              <w:rPr>
                <w:b/>
              </w:rPr>
            </w:pPr>
            <w:r w:rsidRPr="004D0BDA">
              <w:rPr>
                <w:b/>
              </w:rPr>
              <w:t>Relevância dos Recursos de Clientes</w:t>
            </w:r>
          </w:p>
        </w:tc>
        <w:tc>
          <w:tcPr>
            <w:tcW w:w="3538" w:type="pct"/>
          </w:tcPr>
          <w:p w:rsidR="004D0BDA" w:rsidRPr="004D0BDA" w:rsidRDefault="004D0BDA" w:rsidP="00027F25">
            <w:pPr>
              <w:spacing w:before="240" w:after="240"/>
              <w:contextualSpacing/>
              <w:cnfStyle w:val="000000100000" w:firstRow="0" w:lastRow="0" w:firstColumn="0" w:lastColumn="0" w:oddVBand="0" w:evenVBand="0" w:oddHBand="1" w:evenHBand="0" w:firstRowFirstColumn="0" w:firstRowLastColumn="0" w:lastRowFirstColumn="0" w:lastRowLastColumn="0"/>
              <w:rPr>
                <w:i/>
              </w:rPr>
            </w:pPr>
            <m:oMathPara>
              <m:oMathParaPr>
                <m:jc m:val="left"/>
              </m:oMathParaPr>
              <m:oMath>
                <m:r>
                  <w:rPr>
                    <w:rFonts w:ascii="Cambria Math" w:hAnsi="Cambria Math"/>
                  </w:rPr>
                  <m:t>Re</m:t>
                </m:r>
                <m:r>
                  <w:rPr>
                    <w:rFonts w:ascii="Cambria Math" w:hAnsi="Cambria Math"/>
                  </w:rPr>
                  <m:t>levância dos Recursos de Clientes = Depósitos / Passivo Financeiro</m:t>
                </m:r>
              </m:oMath>
            </m:oMathPara>
          </w:p>
        </w:tc>
      </w:tr>
      <w:tr w:rsidR="004D0BDA" w:rsidRPr="004D0BDA" w:rsidTr="00027F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tcPr>
          <w:p w:rsidR="004D0BDA" w:rsidRPr="004D0BDA" w:rsidRDefault="004D0BDA" w:rsidP="00FD4EDA">
            <w:pPr>
              <w:spacing w:before="240" w:after="240"/>
              <w:contextualSpacing/>
              <w:jc w:val="left"/>
              <w:rPr>
                <w:b/>
              </w:rPr>
            </w:pPr>
            <w:r w:rsidRPr="004D0BDA">
              <w:rPr>
                <w:b/>
              </w:rPr>
              <w:t>Rácio de Liquidez em ME</w:t>
            </w:r>
          </w:p>
        </w:tc>
        <w:tc>
          <w:tcPr>
            <w:tcW w:w="3538" w:type="pct"/>
          </w:tcPr>
          <w:p w:rsidR="004D0BDA" w:rsidRPr="004D0BDA" w:rsidRDefault="004D0BDA" w:rsidP="00027F25">
            <w:pPr>
              <w:spacing w:before="240" w:after="240"/>
              <w:contextualSpacing/>
              <w:cnfStyle w:val="000000010000" w:firstRow="0" w:lastRow="0" w:firstColumn="0" w:lastColumn="0" w:oddVBand="0" w:evenVBand="0" w:oddHBand="0" w:evenHBand="1" w:firstRowFirstColumn="0" w:firstRowLastColumn="0" w:lastRowFirstColumn="0" w:lastRowLastColumn="0"/>
              <w:rPr>
                <w:b/>
                <w:i/>
              </w:rPr>
            </w:pPr>
            <m:oMathPara>
              <m:oMathParaPr>
                <m:jc m:val="left"/>
              </m:oMathParaPr>
              <m:oMath>
                <m:r>
                  <w:rPr>
                    <w:rFonts w:ascii="Cambria Math" w:hAnsi="Cambria Math"/>
                  </w:rPr>
                  <m:t xml:space="preserve">Rácio de Liquidez em ME= </m:t>
                </m:r>
                <m:f>
                  <m:fPr>
                    <m:ctrlPr>
                      <w:rPr>
                        <w:rFonts w:ascii="Cambria Math" w:hAnsi="Cambria Math"/>
                        <w:i/>
                      </w:rPr>
                    </m:ctrlPr>
                  </m:fPr>
                  <m:num>
                    <m:r>
                      <w:rPr>
                        <w:rFonts w:ascii="Cambria Math" w:hAnsi="Cambria Math"/>
                      </w:rPr>
                      <m:t xml:space="preserve">Disponibilidades </m:t>
                    </m:r>
                    <m:d>
                      <m:dPr>
                        <m:ctrlPr>
                          <w:rPr>
                            <w:rFonts w:ascii="Cambria Math" w:hAnsi="Cambria Math"/>
                            <w:i/>
                          </w:rPr>
                        </m:ctrlPr>
                      </m:dPr>
                      <m:e>
                        <m:r>
                          <w:rPr>
                            <w:rFonts w:ascii="Cambria Math" w:hAnsi="Cambria Math"/>
                          </w:rPr>
                          <m:t>BNA+Exterior</m:t>
                        </m:r>
                      </m:e>
                    </m:d>
                  </m:num>
                  <m:den>
                    <m:r>
                      <w:rPr>
                        <w:rFonts w:ascii="Cambria Math" w:hAnsi="Cambria Math"/>
                      </w:rPr>
                      <m:t>Depósitos em ME</m:t>
                    </m:r>
                  </m:den>
                </m:f>
              </m:oMath>
            </m:oMathPara>
          </w:p>
        </w:tc>
      </w:tr>
      <w:tr w:rsidR="004D0BDA" w:rsidRPr="004D0BDA" w:rsidTr="00027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tcPr>
          <w:p w:rsidR="004D0BDA" w:rsidRPr="004D0BDA" w:rsidRDefault="004D0BDA" w:rsidP="00FD4EDA">
            <w:pPr>
              <w:spacing w:before="240" w:after="240"/>
              <w:contextualSpacing/>
              <w:jc w:val="left"/>
              <w:rPr>
                <w:b/>
              </w:rPr>
            </w:pPr>
            <w:r w:rsidRPr="004D0BDA">
              <w:rPr>
                <w:b/>
              </w:rPr>
              <w:t>Rácio de Transformação</w:t>
            </w:r>
          </w:p>
        </w:tc>
        <w:tc>
          <w:tcPr>
            <w:tcW w:w="3538" w:type="pct"/>
          </w:tcPr>
          <w:p w:rsidR="004D0BDA" w:rsidRPr="004D0BDA" w:rsidRDefault="004D0BDA" w:rsidP="00027F25">
            <w:pPr>
              <w:spacing w:before="240" w:after="240"/>
              <w:contextualSpacing/>
              <w:cnfStyle w:val="000000100000" w:firstRow="0" w:lastRow="0" w:firstColumn="0" w:lastColumn="0" w:oddVBand="0" w:evenVBand="0" w:oddHBand="1" w:evenHBand="0" w:firstRowFirstColumn="0" w:firstRowLastColumn="0" w:lastRowFirstColumn="0" w:lastRowLastColumn="0"/>
              <w:rPr>
                <w:i/>
              </w:rPr>
            </w:pPr>
            <m:oMathPara>
              <m:oMathParaPr>
                <m:jc m:val="left"/>
              </m:oMathParaPr>
              <m:oMath>
                <m:r>
                  <w:rPr>
                    <w:rFonts w:ascii="Cambria Math" w:hAnsi="Cambria Math"/>
                  </w:rPr>
                  <m:t>Rácio de Transformação =</m:t>
                </m:r>
                <m:f>
                  <m:fPr>
                    <m:ctrlPr>
                      <w:rPr>
                        <w:rFonts w:ascii="Cambria Math" w:hAnsi="Cambria Math"/>
                        <w:i/>
                      </w:rPr>
                    </m:ctrlPr>
                  </m:fPr>
                  <m:num>
                    <m:r>
                      <w:rPr>
                        <w:rFonts w:ascii="Cambria Math" w:hAnsi="Cambria Math"/>
                      </w:rPr>
                      <m:t>Crédito Líquido</m:t>
                    </m:r>
                  </m:num>
                  <m:den>
                    <m:r>
                      <w:rPr>
                        <w:rFonts w:ascii="Cambria Math" w:hAnsi="Cambria Math"/>
                      </w:rPr>
                      <m:t>Total Depósitos de Clientes</m:t>
                    </m:r>
                  </m:den>
                </m:f>
              </m:oMath>
            </m:oMathPara>
          </w:p>
        </w:tc>
      </w:tr>
      <w:tr w:rsidR="004D0BDA" w:rsidRPr="004D0BDA" w:rsidTr="00027F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tcPr>
          <w:p w:rsidR="004D0BDA" w:rsidRPr="004D0BDA" w:rsidRDefault="004D0BDA" w:rsidP="00FD4EDA">
            <w:pPr>
              <w:spacing w:before="240" w:after="240"/>
              <w:contextualSpacing/>
              <w:jc w:val="left"/>
              <w:rPr>
                <w:b/>
              </w:rPr>
            </w:pPr>
            <w:r w:rsidRPr="004D0BDA">
              <w:rPr>
                <w:b/>
              </w:rPr>
              <w:t xml:space="preserve">Rácio </w:t>
            </w:r>
            <w:r w:rsidRPr="004D0BDA">
              <w:rPr>
                <w:b/>
                <w:lang w:val="en-US"/>
              </w:rPr>
              <w:t>Cost-to-Income</w:t>
            </w:r>
          </w:p>
        </w:tc>
        <w:tc>
          <w:tcPr>
            <w:tcW w:w="3538" w:type="pct"/>
          </w:tcPr>
          <w:p w:rsidR="004D0BDA" w:rsidRPr="004D0BDA" w:rsidRDefault="004D0BDA" w:rsidP="00027F25">
            <w:pPr>
              <w:spacing w:before="240" w:after="240"/>
              <w:contextualSpacing/>
              <w:cnfStyle w:val="000000010000" w:firstRow="0" w:lastRow="0" w:firstColumn="0" w:lastColumn="0" w:oddVBand="0" w:evenVBand="0" w:oddHBand="0" w:evenHBand="1" w:firstRowFirstColumn="0" w:firstRowLastColumn="0" w:lastRowFirstColumn="0" w:lastRowLastColumn="0"/>
              <w:rPr>
                <w:i/>
              </w:rPr>
            </w:pPr>
            <m:oMathPara>
              <m:oMath>
                <m:r>
                  <w:rPr>
                    <w:rFonts w:ascii="Cambria Math" w:hAnsi="Cambria Math"/>
                  </w:rPr>
                  <m:t>Rácio Cost-to-Income = Custos Operacionais / Produto Bancário Bruto</m:t>
                </m:r>
              </m:oMath>
            </m:oMathPara>
          </w:p>
        </w:tc>
      </w:tr>
      <w:tr w:rsidR="004D0BDA" w:rsidRPr="004D0BDA" w:rsidTr="00027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tcPr>
          <w:p w:rsidR="004D0BDA" w:rsidRPr="004D0BDA" w:rsidRDefault="004D0BDA" w:rsidP="00FD4EDA">
            <w:pPr>
              <w:spacing w:before="240" w:after="240"/>
              <w:contextualSpacing/>
              <w:jc w:val="left"/>
              <w:rPr>
                <w:b/>
              </w:rPr>
            </w:pPr>
            <w:r w:rsidRPr="004D0BDA">
              <w:rPr>
                <w:b/>
              </w:rPr>
              <w:t>Rácio de Solvabilidade Regulamentar (RSR)</w:t>
            </w:r>
          </w:p>
        </w:tc>
        <w:tc>
          <w:tcPr>
            <w:tcW w:w="3538" w:type="pct"/>
          </w:tcPr>
          <w:p w:rsidR="004D0BDA" w:rsidRPr="004D0BDA" w:rsidRDefault="004D0BDA" w:rsidP="00027F25">
            <w:pPr>
              <w:spacing w:before="240" w:after="24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m:oMathPara>
              <m:oMathParaPr>
                <m:jc m:val="left"/>
              </m:oMathParaPr>
              <m:oMath>
                <m:r>
                  <w:rPr>
                    <w:rFonts w:ascii="Cambria Math" w:hAnsi="Cambria Math"/>
                  </w:rPr>
                  <m:t xml:space="preserve">RSR= </m:t>
                </m:r>
                <m:f>
                  <m:fPr>
                    <m:ctrlPr>
                      <w:rPr>
                        <w:rFonts w:ascii="Cambria Math" w:hAnsi="Cambria Math"/>
                        <w:i/>
                      </w:rPr>
                    </m:ctrlPr>
                  </m:fPr>
                  <m:num>
                    <m:r>
                      <w:rPr>
                        <w:rFonts w:ascii="Cambria Math" w:hAnsi="Cambria Math"/>
                      </w:rPr>
                      <m:t>FPR</m:t>
                    </m:r>
                  </m:num>
                  <m:den>
                    <m:r>
                      <w:rPr>
                        <w:rFonts w:ascii="Cambria Math" w:hAnsi="Cambria Math"/>
                      </w:rPr>
                      <m:t>Risco de Crédito+</m:t>
                    </m:r>
                    <m:f>
                      <m:fPr>
                        <m:ctrlPr>
                          <w:rPr>
                            <w:rFonts w:ascii="Cambria Math" w:hAnsi="Cambria Math"/>
                            <w:i/>
                          </w:rPr>
                        </m:ctrlPr>
                      </m:fPr>
                      <m:num>
                        <m:r>
                          <w:rPr>
                            <w:rFonts w:ascii="Cambria Math" w:hAnsi="Cambria Math"/>
                          </w:rPr>
                          <m:t>Risco de Câmbio e Ouro</m:t>
                        </m:r>
                      </m:num>
                      <m:den>
                        <m:r>
                          <w:rPr>
                            <w:rFonts w:ascii="Cambria Math" w:hAnsi="Cambria Math"/>
                          </w:rPr>
                          <m:t>10%</m:t>
                        </m:r>
                      </m:den>
                    </m:f>
                  </m:den>
                </m:f>
                <m:r>
                  <w:rPr>
                    <w:rFonts w:ascii="Cambria Math" w:hAnsi="Cambria Math"/>
                  </w:rPr>
                  <m:t xml:space="preserve"> ≥10%</m:t>
                </m:r>
              </m:oMath>
            </m:oMathPara>
          </w:p>
        </w:tc>
      </w:tr>
      <w:tr w:rsidR="004D0BDA" w:rsidRPr="004D0BDA" w:rsidTr="00027F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tcPr>
          <w:p w:rsidR="004D0BDA" w:rsidRPr="004D0BDA" w:rsidRDefault="004D0BDA" w:rsidP="00FD4EDA">
            <w:pPr>
              <w:spacing w:before="240" w:after="240"/>
              <w:contextualSpacing/>
              <w:jc w:val="left"/>
              <w:rPr>
                <w:b/>
              </w:rPr>
            </w:pPr>
            <w:r w:rsidRPr="004D0BDA">
              <w:rPr>
                <w:b/>
              </w:rPr>
              <w:t>Rentabilidade do Activo Médio e Rentabilidade dos Capitais Próprios Médios</w:t>
            </w:r>
          </w:p>
        </w:tc>
        <w:tc>
          <w:tcPr>
            <w:tcW w:w="3538" w:type="pct"/>
          </w:tcPr>
          <w:p w:rsidR="004D0BDA" w:rsidRPr="004D0BDA" w:rsidRDefault="004D0BDA" w:rsidP="00027F25">
            <w:pPr>
              <w:spacing w:before="240" w:after="240"/>
              <w:contextualSpacing/>
              <w:cnfStyle w:val="000000010000" w:firstRow="0" w:lastRow="0" w:firstColumn="0" w:lastColumn="0" w:oddVBand="0" w:evenVBand="0" w:oddHBand="0" w:evenHBand="1" w:firstRowFirstColumn="0" w:firstRowLastColumn="0" w:lastRowFirstColumn="0" w:lastRowLastColumn="0"/>
              <w:rPr>
                <w:i/>
              </w:rPr>
            </w:pPr>
            <m:oMathPara>
              <m:oMathParaPr>
                <m:jc m:val="left"/>
              </m:oMathParaPr>
              <m:oMath>
                <m:r>
                  <w:rPr>
                    <w:rFonts w:ascii="Cambria Math" w:hAnsi="Cambria Math"/>
                  </w:rPr>
                  <m:t xml:space="preserve">Grau de Alavancagem = </m:t>
                </m:r>
                <m:f>
                  <m:fPr>
                    <m:ctrlPr>
                      <w:rPr>
                        <w:rFonts w:ascii="Cambria Math" w:hAnsi="Cambria Math"/>
                        <w:i/>
                      </w:rPr>
                    </m:ctrlPr>
                  </m:fPr>
                  <m:num>
                    <m:r>
                      <w:rPr>
                        <w:rFonts w:ascii="Cambria Math" w:hAnsi="Cambria Math"/>
                      </w:rPr>
                      <m:t xml:space="preserve"> Activo Médio Total</m:t>
                    </m:r>
                  </m:num>
                  <m:den>
                    <m:r>
                      <w:rPr>
                        <w:rFonts w:ascii="Cambria Math" w:hAnsi="Cambria Math"/>
                      </w:rPr>
                      <m:t>Fundos Próprios Médios</m:t>
                    </m:r>
                  </m:den>
                </m:f>
              </m:oMath>
            </m:oMathPara>
          </w:p>
          <w:p w:rsidR="004D0BDA" w:rsidRPr="004D0BDA" w:rsidRDefault="004D0BDA" w:rsidP="00027F25">
            <w:pPr>
              <w:spacing w:before="240" w:after="240"/>
              <w:contextualSpacing/>
              <w:cnfStyle w:val="000000010000" w:firstRow="0" w:lastRow="0" w:firstColumn="0" w:lastColumn="0" w:oddVBand="0" w:evenVBand="0" w:oddHBand="0" w:evenHBand="1" w:firstRowFirstColumn="0" w:firstRowLastColumn="0" w:lastRowFirstColumn="0" w:lastRowLastColumn="0"/>
              <w:rPr>
                <w:i/>
              </w:rPr>
            </w:pPr>
            <m:oMathPara>
              <m:oMathParaPr>
                <m:jc m:val="left"/>
              </m:oMathParaPr>
              <m:oMath>
                <m:r>
                  <w:rPr>
                    <w:rFonts w:ascii="Cambria Math" w:hAnsi="Cambria Math"/>
                  </w:rPr>
                  <m:t xml:space="preserve">ROAA = </m:t>
                </m:r>
                <m:f>
                  <m:fPr>
                    <m:ctrlPr>
                      <w:rPr>
                        <w:rFonts w:ascii="Cambria Math" w:hAnsi="Cambria Math"/>
                        <w:i/>
                      </w:rPr>
                    </m:ctrlPr>
                  </m:fPr>
                  <m:num>
                    <m:r>
                      <w:rPr>
                        <w:rFonts w:ascii="Cambria Math" w:hAnsi="Cambria Math"/>
                      </w:rPr>
                      <m:t>Resultados Líquidos do Exercício</m:t>
                    </m:r>
                  </m:num>
                  <m:den>
                    <m:r>
                      <w:rPr>
                        <w:rFonts w:ascii="Cambria Math" w:hAnsi="Cambria Math"/>
                      </w:rPr>
                      <m:t xml:space="preserve"> Activo Médio Total</m:t>
                    </m:r>
                  </m:den>
                </m:f>
              </m:oMath>
            </m:oMathPara>
          </w:p>
          <w:p w:rsidR="004D0BDA" w:rsidRPr="004D0BDA" w:rsidRDefault="004D0BDA" w:rsidP="00027F25">
            <w:pPr>
              <w:spacing w:before="240" w:after="240"/>
              <w:contextualSpacing/>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ROAE = ROAA x Grau de Alavancagem</m:t>
                </m:r>
              </m:oMath>
            </m:oMathPara>
          </w:p>
        </w:tc>
      </w:tr>
      <w:tr w:rsidR="004D0BDA" w:rsidRPr="004D0BDA" w:rsidTr="00027F25">
        <w:trPr>
          <w:cnfStyle w:val="000000100000" w:firstRow="0" w:lastRow="0" w:firstColumn="0" w:lastColumn="0" w:oddVBand="0" w:evenVBand="0" w:oddHBand="1" w:evenHBand="0" w:firstRowFirstColumn="0" w:firstRowLastColumn="0" w:lastRowFirstColumn="0" w:lastRowLastColumn="0"/>
          <w:trHeight w:val="1469"/>
        </w:trPr>
        <w:tc>
          <w:tcPr>
            <w:cnfStyle w:val="001000000000" w:firstRow="0" w:lastRow="0" w:firstColumn="1" w:lastColumn="0" w:oddVBand="0" w:evenVBand="0" w:oddHBand="0" w:evenHBand="0" w:firstRowFirstColumn="0" w:firstRowLastColumn="0" w:lastRowFirstColumn="0" w:lastRowLastColumn="0"/>
            <w:tcW w:w="1462" w:type="pct"/>
          </w:tcPr>
          <w:p w:rsidR="004D0BDA" w:rsidRPr="004D0BDA" w:rsidRDefault="004D0BDA" w:rsidP="00FD4EDA">
            <w:pPr>
              <w:spacing w:before="240" w:after="240"/>
              <w:contextualSpacing/>
              <w:jc w:val="left"/>
              <w:rPr>
                <w:b/>
              </w:rPr>
            </w:pPr>
            <w:r w:rsidRPr="004D0BDA">
              <w:rPr>
                <w:b/>
              </w:rPr>
              <w:t>Residente Cambial</w:t>
            </w:r>
          </w:p>
        </w:tc>
        <w:tc>
          <w:tcPr>
            <w:tcW w:w="3538" w:type="pct"/>
          </w:tcPr>
          <w:p w:rsidR="004D0BDA" w:rsidRPr="004D0BDA" w:rsidRDefault="004D0BDA" w:rsidP="00027F25">
            <w:p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4D0BDA">
              <w:rPr>
                <w:rFonts w:eastAsia="Times New Roman" w:cs="Times New Roman"/>
              </w:rPr>
              <w:t>Segundo a Lei Cambial, Lei nº 5/97 de 27 de Junho, consideram-se residentes cambiais em território nacional:</w:t>
            </w:r>
          </w:p>
          <w:p w:rsidR="004D0BDA" w:rsidRPr="004D0BDA" w:rsidRDefault="004D0BDA" w:rsidP="004D0BDA">
            <w:pPr>
              <w:pStyle w:val="PargrafodaLista"/>
              <w:numPr>
                <w:ilvl w:val="0"/>
                <w:numId w:val="4"/>
              </w:numPr>
              <w:ind w:left="317" w:hanging="284"/>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4D0BDA">
              <w:rPr>
                <w:rFonts w:eastAsia="Times New Roman" w:cs="Times New Roman"/>
              </w:rPr>
              <w:t>As pessoas singulares que tiverem residência habitual no país;</w:t>
            </w:r>
          </w:p>
          <w:p w:rsidR="004D0BDA" w:rsidRPr="004D0BDA" w:rsidRDefault="004D0BDA" w:rsidP="004D0BDA">
            <w:pPr>
              <w:pStyle w:val="PargrafodaLista"/>
              <w:numPr>
                <w:ilvl w:val="0"/>
                <w:numId w:val="3"/>
              </w:numPr>
              <w:spacing w:before="240" w:after="240"/>
              <w:ind w:left="317" w:hanging="284"/>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4D0BDA">
              <w:rPr>
                <w:rFonts w:eastAsia="Times New Roman" w:cs="Times New Roman"/>
              </w:rPr>
              <w:t>As pessoas colectivas com sede no país;</w:t>
            </w:r>
          </w:p>
          <w:p w:rsidR="004D0BDA" w:rsidRPr="004D0BDA" w:rsidRDefault="004D0BDA" w:rsidP="004D0BDA">
            <w:pPr>
              <w:pStyle w:val="PargrafodaLista"/>
              <w:numPr>
                <w:ilvl w:val="0"/>
                <w:numId w:val="3"/>
              </w:numPr>
              <w:spacing w:before="240" w:after="240"/>
              <w:ind w:left="317" w:hanging="284"/>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4D0BDA">
              <w:rPr>
                <w:rFonts w:eastAsia="Times New Roman" w:cs="Times New Roman"/>
              </w:rPr>
              <w:t xml:space="preserve">As filiais, sucursais, agências ou quaisquer formas de </w:t>
            </w:r>
            <w:r w:rsidRPr="004D0BDA">
              <w:rPr>
                <w:rFonts w:eastAsia="Times New Roman" w:cs="Times New Roman"/>
              </w:rPr>
              <w:lastRenderedPageBreak/>
              <w:t>representação</w:t>
            </w:r>
            <w:r w:rsidRPr="004D0BDA">
              <w:rPr>
                <w:rStyle w:val="Refdenotaderodap"/>
                <w:rFonts w:eastAsia="Times New Roman" w:cs="Times New Roman"/>
              </w:rPr>
              <w:footnoteReference w:id="4"/>
            </w:r>
            <w:r w:rsidRPr="004D0BDA">
              <w:rPr>
                <w:rFonts w:eastAsia="Times New Roman" w:cs="Times New Roman"/>
              </w:rPr>
              <w:t xml:space="preserve"> no país de pessoas colectivas com sede no estrangeiro;</w:t>
            </w:r>
          </w:p>
          <w:p w:rsidR="004D0BDA" w:rsidRPr="004D0BDA" w:rsidRDefault="004D0BDA" w:rsidP="004D0BDA">
            <w:pPr>
              <w:pStyle w:val="PargrafodaLista"/>
              <w:numPr>
                <w:ilvl w:val="0"/>
                <w:numId w:val="3"/>
              </w:numPr>
              <w:spacing w:before="240" w:after="240"/>
              <w:ind w:left="317" w:hanging="284"/>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4D0BDA">
              <w:rPr>
                <w:rFonts w:eastAsia="Times New Roman" w:cs="Times New Roman"/>
              </w:rPr>
              <w:t>Os fundos, institutos e organismos públicos dotados de autonomia administrativa e financeira, com sede em território nacional;</w:t>
            </w:r>
          </w:p>
          <w:p w:rsidR="004D0BDA" w:rsidRPr="004D0BDA" w:rsidRDefault="004D0BDA" w:rsidP="004D0BDA">
            <w:pPr>
              <w:pStyle w:val="PargrafodaLista"/>
              <w:numPr>
                <w:ilvl w:val="0"/>
                <w:numId w:val="3"/>
              </w:numPr>
              <w:spacing w:before="240" w:after="240"/>
              <w:ind w:left="317" w:hanging="284"/>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4D0BDA">
              <w:rPr>
                <w:rFonts w:eastAsia="Times New Roman" w:cs="Times New Roman"/>
              </w:rPr>
              <w:t>Os cidadãos nacionais diplomatas, representantes consulares ou equiparados, em exercício de funções no estrangeiro, bem como os membros das respectivas famílias.</w:t>
            </w:r>
          </w:p>
          <w:p w:rsidR="004D0BDA" w:rsidRPr="004D0BDA" w:rsidRDefault="004D0BDA" w:rsidP="004D0BDA">
            <w:pPr>
              <w:pStyle w:val="PargrafodaLista"/>
              <w:numPr>
                <w:ilvl w:val="0"/>
                <w:numId w:val="3"/>
              </w:numPr>
              <w:spacing w:before="240" w:after="240"/>
              <w:ind w:left="317" w:hanging="284"/>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4D0BDA">
              <w:rPr>
                <w:rFonts w:eastAsia="Times New Roman" w:cs="Times New Roman"/>
              </w:rPr>
              <w:t>As pessoas singulares cuja ausência no estrangeiro, por período superior a 90 dias e inferior a 1 ano</w:t>
            </w:r>
            <w:proofErr w:type="gramStart"/>
            <w:r w:rsidRPr="004D0BDA">
              <w:rPr>
                <w:rFonts w:eastAsia="Times New Roman" w:cs="Times New Roman"/>
              </w:rPr>
              <w:t>,</w:t>
            </w:r>
            <w:proofErr w:type="gramEnd"/>
            <w:r w:rsidRPr="004D0BDA">
              <w:rPr>
                <w:rFonts w:eastAsia="Times New Roman" w:cs="Times New Roman"/>
              </w:rPr>
              <w:t xml:space="preserve"> tiver origem em motivo de estudos ou for determinada pelo exercício de funções públicas</w:t>
            </w:r>
          </w:p>
        </w:tc>
      </w:tr>
      <w:tr w:rsidR="004D0BDA" w:rsidRPr="004D0BDA" w:rsidTr="00027F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tcPr>
          <w:p w:rsidR="004D0BDA" w:rsidRPr="004D0BDA" w:rsidRDefault="004D0BDA" w:rsidP="00FD4EDA">
            <w:pPr>
              <w:spacing w:before="240" w:after="240"/>
              <w:contextualSpacing/>
              <w:jc w:val="left"/>
              <w:rPr>
                <w:b/>
              </w:rPr>
            </w:pPr>
            <w:r w:rsidRPr="004D0BDA">
              <w:rPr>
                <w:b/>
              </w:rPr>
              <w:lastRenderedPageBreak/>
              <w:t>Solvabilidade Bruta</w:t>
            </w:r>
          </w:p>
        </w:tc>
        <w:tc>
          <w:tcPr>
            <w:tcW w:w="3538" w:type="pct"/>
          </w:tcPr>
          <w:p w:rsidR="004D0BDA" w:rsidRPr="004D0BDA" w:rsidRDefault="004D0BDA" w:rsidP="00027F25">
            <w:pPr>
              <w:spacing w:before="240" w:after="240"/>
              <w:contextualSpacing/>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 xml:space="preserve">Solvabilidade Bruta = </m:t>
                </m:r>
                <m:f>
                  <m:fPr>
                    <m:ctrlPr>
                      <w:rPr>
                        <w:rFonts w:ascii="Cambria Math" w:hAnsi="Cambria Math"/>
                        <w:i/>
                      </w:rPr>
                    </m:ctrlPr>
                  </m:fPr>
                  <m:num>
                    <m:r>
                      <w:rPr>
                        <w:rFonts w:ascii="Cambria Math" w:hAnsi="Cambria Math"/>
                      </w:rPr>
                      <m:t>Fundos Próprios</m:t>
                    </m:r>
                  </m:num>
                  <m:den>
                    <m:r>
                      <w:rPr>
                        <w:rFonts w:ascii="Cambria Math" w:hAnsi="Cambria Math"/>
                      </w:rPr>
                      <m:t>Activo Total</m:t>
                    </m:r>
                  </m:den>
                </m:f>
                <m:r>
                  <w:rPr>
                    <w:rFonts w:ascii="Cambria Math" w:hAnsi="Cambria Math"/>
                  </w:rPr>
                  <m:t xml:space="preserve"> </m:t>
                </m:r>
              </m:oMath>
            </m:oMathPara>
          </w:p>
          <w:p w:rsidR="004D0BDA" w:rsidRPr="004D0BDA" w:rsidRDefault="004D0BDA" w:rsidP="00027F25">
            <w:pPr>
              <w:spacing w:before="240" w:after="240"/>
              <w:contextualSpacing/>
              <w:cnfStyle w:val="000000010000" w:firstRow="0" w:lastRow="0" w:firstColumn="0" w:lastColumn="0" w:oddVBand="0" w:evenVBand="0" w:oddHBand="0" w:evenHBand="1" w:firstRowFirstColumn="0" w:firstRowLastColumn="0" w:lastRowFirstColumn="0" w:lastRowLastColumn="0"/>
            </w:pPr>
          </w:p>
          <w:p w:rsidR="004D0BDA" w:rsidRPr="004D0BDA" w:rsidRDefault="004D0BDA" w:rsidP="00027F25">
            <w:pPr>
              <w:spacing w:before="240" w:after="240"/>
              <w:contextualSpacing/>
              <w:cnfStyle w:val="000000010000" w:firstRow="0" w:lastRow="0" w:firstColumn="0" w:lastColumn="0" w:oddVBand="0" w:evenVBand="0" w:oddHBand="0" w:evenHBand="1" w:firstRowFirstColumn="0" w:firstRowLastColumn="0" w:lastRowFirstColumn="0" w:lastRowLastColumn="0"/>
              <w:rPr>
                <w:b/>
              </w:rPr>
            </w:pPr>
          </w:p>
        </w:tc>
      </w:tr>
      <w:tr w:rsidR="004D0BDA" w:rsidRPr="004D0BDA" w:rsidTr="00027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tcPr>
          <w:p w:rsidR="004D0BDA" w:rsidRPr="004D0BDA" w:rsidRDefault="004D0BDA" w:rsidP="00FD4EDA">
            <w:pPr>
              <w:spacing w:before="240" w:after="240"/>
              <w:contextualSpacing/>
              <w:jc w:val="left"/>
              <w:rPr>
                <w:b/>
                <w:i/>
              </w:rPr>
            </w:pPr>
            <w:proofErr w:type="gramStart"/>
            <w:r w:rsidRPr="004D0BDA">
              <w:rPr>
                <w:b/>
                <w:i/>
              </w:rPr>
              <w:t>Spread</w:t>
            </w:r>
            <w:proofErr w:type="gramEnd"/>
          </w:p>
        </w:tc>
        <w:tc>
          <w:tcPr>
            <w:tcW w:w="3538" w:type="pct"/>
          </w:tcPr>
          <w:p w:rsidR="004D0BDA" w:rsidRPr="004D0BDA" w:rsidRDefault="004D0BDA" w:rsidP="00027F25">
            <w:pPr>
              <w:spacing w:before="240" w:after="240"/>
              <w:contextualSpacing/>
              <w:cnfStyle w:val="000000100000" w:firstRow="0" w:lastRow="0" w:firstColumn="0" w:lastColumn="0" w:oddVBand="0" w:evenVBand="0" w:oddHBand="1" w:evenHBand="0" w:firstRowFirstColumn="0" w:firstRowLastColumn="0" w:lastRowFirstColumn="0" w:lastRowLastColumn="0"/>
              <w:rPr>
                <w:sz w:val="16"/>
                <w:szCs w:val="16"/>
              </w:rPr>
            </w:pPr>
            <w:r w:rsidRPr="004D0BDA">
              <w:rPr>
                <w:szCs w:val="16"/>
              </w:rPr>
              <w:t>Diferença entre os juros dos empréstimos concedidos pelos bancos e os juros pagos por estes na captação de recursos</w:t>
            </w:r>
          </w:p>
          <w:p w:rsidR="004D0BDA" w:rsidRPr="004D0BDA" w:rsidRDefault="004D0BDA" w:rsidP="00027F25">
            <w:pPr>
              <w:spacing w:before="240" w:after="240"/>
              <w:contextualSpacing/>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 xml:space="preserve">Spread = </m:t>
                </m:r>
                <m:f>
                  <m:fPr>
                    <m:ctrlPr>
                      <w:rPr>
                        <w:rFonts w:ascii="Cambria Math" w:hAnsi="Cambria Math"/>
                        <w:i/>
                      </w:rPr>
                    </m:ctrlPr>
                  </m:fPr>
                  <m:num>
                    <m:r>
                      <w:rPr>
                        <w:rFonts w:ascii="Cambria Math" w:hAnsi="Cambria Math"/>
                      </w:rPr>
                      <m:t>Taxas dos Empréstimos</m:t>
                    </m:r>
                  </m:num>
                  <m:den>
                    <m:r>
                      <w:rPr>
                        <w:rFonts w:ascii="Cambria Math" w:hAnsi="Cambria Math"/>
                      </w:rPr>
                      <m:t>Taxa dos Depósitos à Ordem</m:t>
                    </m:r>
                  </m:den>
                </m:f>
                <m:r>
                  <w:rPr>
                    <w:rFonts w:ascii="Cambria Math" w:hAnsi="Cambria Math"/>
                  </w:rPr>
                  <m:t xml:space="preserve"> </m:t>
                </m:r>
              </m:oMath>
            </m:oMathPara>
          </w:p>
        </w:tc>
      </w:tr>
      <w:tr w:rsidR="004D0BDA" w:rsidRPr="004D0BDA" w:rsidTr="00027F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tcPr>
          <w:p w:rsidR="004D0BDA" w:rsidRPr="004D0BDA" w:rsidRDefault="004D0BDA" w:rsidP="00FD4EDA">
            <w:pPr>
              <w:spacing w:before="240" w:after="240"/>
              <w:contextualSpacing/>
              <w:jc w:val="left"/>
              <w:rPr>
                <w:b/>
              </w:rPr>
            </w:pPr>
            <w:r w:rsidRPr="004D0BDA">
              <w:rPr>
                <w:b/>
              </w:rPr>
              <w:t>Taxa de Cobertura Global</w:t>
            </w:r>
          </w:p>
        </w:tc>
        <w:tc>
          <w:tcPr>
            <w:tcW w:w="3538" w:type="pct"/>
          </w:tcPr>
          <w:p w:rsidR="004D0BDA" w:rsidRPr="004D0BDA" w:rsidRDefault="004D0BDA" w:rsidP="00027F25">
            <w:pPr>
              <w:pStyle w:val="Citao"/>
              <w:spacing w:before="0"/>
              <w:jc w:val="both"/>
              <w:cnfStyle w:val="000000010000" w:firstRow="0" w:lastRow="0" w:firstColumn="0" w:lastColumn="0" w:oddVBand="0" w:evenVBand="0" w:oddHBand="0" w:evenHBand="1" w:firstRowFirstColumn="0" w:firstRowLastColumn="0" w:lastRowFirstColumn="0" w:lastRowLastColumn="0"/>
              <w:rPr>
                <w:i w:val="0"/>
                <w:szCs w:val="16"/>
              </w:rPr>
            </w:pPr>
            <m:oMathPara>
              <m:oMath>
                <m:r>
                  <w:rPr>
                    <w:rFonts w:ascii="Cambria Math" w:hAnsi="Cambria Math"/>
                    <w:szCs w:val="16"/>
                  </w:rPr>
                  <m:t>Taxa de Cobertur</m:t>
                </m:r>
                <m:r>
                  <w:rPr>
                    <w:rFonts w:ascii="Cambria Math" w:hAnsi="Cambria Math"/>
                    <w:szCs w:val="16"/>
                  </w:rPr>
                  <m:t xml:space="preserve">a Global= </m:t>
                </m:r>
                <m:f>
                  <m:fPr>
                    <m:ctrlPr>
                      <w:rPr>
                        <w:rFonts w:ascii="Cambria Math" w:hAnsi="Cambria Math"/>
                        <w:szCs w:val="16"/>
                      </w:rPr>
                    </m:ctrlPr>
                  </m:fPr>
                  <m:num>
                    <m:r>
                      <w:rPr>
                        <w:rFonts w:ascii="Cambria Math" w:hAnsi="Cambria Math"/>
                        <w:szCs w:val="16"/>
                      </w:rPr>
                      <m:t>Exportações</m:t>
                    </m:r>
                  </m:num>
                  <m:den>
                    <m:r>
                      <w:rPr>
                        <w:rFonts w:ascii="Cambria Math" w:hAnsi="Cambria Math"/>
                        <w:szCs w:val="16"/>
                      </w:rPr>
                      <m:t>Importações</m:t>
                    </m:r>
                  </m:den>
                </m:f>
              </m:oMath>
            </m:oMathPara>
          </w:p>
          <w:p w:rsidR="004D0BDA" w:rsidRPr="004D0BDA" w:rsidRDefault="004D0BDA" w:rsidP="00027F25">
            <w:pPr>
              <w:pStyle w:val="Citao"/>
              <w:spacing w:before="0"/>
              <w:jc w:val="both"/>
              <w:cnfStyle w:val="000000010000" w:firstRow="0" w:lastRow="0" w:firstColumn="0" w:lastColumn="0" w:oddVBand="0" w:evenVBand="0" w:oddHBand="0" w:evenHBand="1" w:firstRowFirstColumn="0" w:firstRowLastColumn="0" w:lastRowFirstColumn="0" w:lastRowLastColumn="0"/>
              <w:rPr>
                <w:rFonts w:eastAsia="Times New Roman" w:cs="Times New Roman"/>
                <w:i w:val="0"/>
              </w:rPr>
            </w:pPr>
            <w:r w:rsidRPr="004D0BDA">
              <w:rPr>
                <w:i w:val="0"/>
                <w:szCs w:val="16"/>
              </w:rPr>
              <w:t xml:space="preserve">Uma taxa e cobertura superior a 1 (quando expressa em percentagem) significa que o país tem uma posição comercial forte (competitividade comercial) enquanto uma taxa inferior a 1 </w:t>
            </w:r>
            <w:proofErr w:type="gramStart"/>
            <w:r w:rsidRPr="004D0BDA">
              <w:rPr>
                <w:i w:val="0"/>
                <w:szCs w:val="16"/>
              </w:rPr>
              <w:t>indica</w:t>
            </w:r>
            <w:proofErr w:type="gramEnd"/>
            <w:r w:rsidRPr="004D0BDA">
              <w:rPr>
                <w:i w:val="0"/>
                <w:szCs w:val="16"/>
              </w:rPr>
              <w:t xml:space="preserve"> uma posição fraca ou de dependência comercial (saldo comercial negativo).</w:t>
            </w:r>
          </w:p>
        </w:tc>
      </w:tr>
      <w:tr w:rsidR="004D0BDA" w:rsidRPr="004D0BDA" w:rsidTr="00027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tcPr>
          <w:p w:rsidR="004D0BDA" w:rsidRPr="004D0BDA" w:rsidRDefault="004D0BDA" w:rsidP="00FD4EDA">
            <w:pPr>
              <w:spacing w:before="240" w:after="240"/>
              <w:contextualSpacing/>
              <w:jc w:val="left"/>
              <w:rPr>
                <w:b/>
              </w:rPr>
            </w:pPr>
            <w:r w:rsidRPr="004D0BDA">
              <w:rPr>
                <w:b/>
              </w:rPr>
              <w:t>Taxa de Crescimento Anual Composta (CAGR)</w:t>
            </w:r>
          </w:p>
        </w:tc>
        <w:tc>
          <w:tcPr>
            <w:tcW w:w="3538" w:type="pct"/>
          </w:tcPr>
          <w:p w:rsidR="004D0BDA" w:rsidRPr="004D0BDA" w:rsidRDefault="004D0BDA" w:rsidP="00027F25">
            <w:pPr>
              <w:spacing w:before="240" w:after="240"/>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rPr>
            </w:pPr>
            <m:oMathPara>
              <m:oMath>
                <m:r>
                  <w:rPr>
                    <w:rFonts w:ascii="Cambria Math" w:eastAsia="Times New Roman" w:hAnsi="Cambria Math" w:cs="Times New Roman"/>
                  </w:rPr>
                  <m:t>CAGR=</m:t>
                </m:r>
                <m:d>
                  <m:dPr>
                    <m:ctrlPr>
                      <w:rPr>
                        <w:rFonts w:ascii="Cambria Math" w:eastAsia="Times New Roman" w:hAnsi="Cambria Math" w:cs="Times New Roman"/>
                        <w:i/>
                      </w:rPr>
                    </m:ctrlPr>
                  </m:dPr>
                  <m:e>
                    <m:sSup>
                      <m:sSupPr>
                        <m:ctrlPr>
                          <w:rPr>
                            <w:rFonts w:ascii="Cambria Math" w:eastAsia="Times New Roman" w:hAnsi="Cambria Math" w:cs="Times New Roman"/>
                            <w:i/>
                          </w:rPr>
                        </m:ctrlPr>
                      </m:sSupPr>
                      <m:e>
                        <m:d>
                          <m:dPr>
                            <m:ctrlPr>
                              <w:rPr>
                                <w:rFonts w:ascii="Cambria Math" w:eastAsia="Times New Roman" w:hAnsi="Cambria Math" w:cs="Times New Roman"/>
                                <w:i/>
                              </w:rPr>
                            </m:ctrlPr>
                          </m:dPr>
                          <m:e>
                            <m:f>
                              <m:fPr>
                                <m:ctrlPr>
                                  <w:rPr>
                                    <w:rFonts w:ascii="Cambria Math" w:eastAsia="Times New Roman" w:hAnsi="Cambria Math" w:cs="Times New Roman"/>
                                    <w:i/>
                                  </w:rPr>
                                </m:ctrlPr>
                              </m:fPr>
                              <m:num>
                                <m:r>
                                  <w:rPr>
                                    <w:rFonts w:ascii="Cambria Math" w:eastAsia="Times New Roman" w:hAnsi="Cambria Math" w:cs="Times New Roman"/>
                                  </w:rPr>
                                  <m:t>Valor no Término do Período</m:t>
                                </m:r>
                              </m:num>
                              <m:den>
                                <m:r>
                                  <w:rPr>
                                    <w:rFonts w:ascii="Cambria Math" w:eastAsia="Times New Roman" w:hAnsi="Cambria Math" w:cs="Times New Roman"/>
                                  </w:rPr>
                                  <m:t>Valor no Início do Período</m:t>
                                </m:r>
                              </m:den>
                            </m:f>
                          </m:e>
                        </m:d>
                      </m:e>
                      <m:sup>
                        <m:f>
                          <m:fPr>
                            <m:ctrlPr>
                              <w:rPr>
                                <w:rFonts w:ascii="Cambria Math" w:eastAsia="Times New Roman" w:hAnsi="Cambria Math" w:cs="Times New Roman"/>
                                <w:i/>
                              </w:rPr>
                            </m:ctrlPr>
                          </m:fPr>
                          <m:num>
                            <m:r>
                              <w:rPr>
                                <w:rFonts w:ascii="Cambria Math" w:eastAsia="Times New Roman" w:hAnsi="Cambria Math" w:cs="Times New Roman"/>
                              </w:rPr>
                              <m:t>1</m:t>
                            </m:r>
                          </m:num>
                          <m:den>
                            <m:r>
                              <w:rPr>
                                <w:rFonts w:ascii="Cambria Math" w:eastAsia="Times New Roman" w:hAnsi="Cambria Math" w:cs="Times New Roman"/>
                              </w:rPr>
                              <m:t>Número de Anos</m:t>
                            </m:r>
                          </m:den>
                        </m:f>
                      </m:sup>
                    </m:sSup>
                  </m:e>
                </m:d>
                <m:r>
                  <w:rPr>
                    <w:rFonts w:ascii="Cambria Math" w:eastAsia="Times New Roman" w:hAnsi="Cambria Math" w:cs="Times New Roman"/>
                  </w:rPr>
                  <m:t>-1</m:t>
                </m:r>
              </m:oMath>
            </m:oMathPara>
          </w:p>
        </w:tc>
      </w:tr>
      <w:tr w:rsidR="004D0BDA" w:rsidRPr="004D0BDA" w:rsidTr="00027F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tcPr>
          <w:p w:rsidR="004D0BDA" w:rsidRPr="004D0BDA" w:rsidRDefault="004D0BDA" w:rsidP="00FD4EDA">
            <w:pPr>
              <w:spacing w:before="240" w:after="240"/>
              <w:contextualSpacing/>
              <w:jc w:val="left"/>
              <w:rPr>
                <w:b/>
              </w:rPr>
            </w:pPr>
            <w:r w:rsidRPr="004D0BDA">
              <w:rPr>
                <w:b/>
              </w:rPr>
              <w:t>Valor Acrescentado Bruto (VAB)</w:t>
            </w:r>
          </w:p>
        </w:tc>
        <w:tc>
          <w:tcPr>
            <w:tcW w:w="3538" w:type="pct"/>
          </w:tcPr>
          <w:p w:rsidR="004D0BDA" w:rsidRPr="004D0BDA" w:rsidRDefault="004D0BDA" w:rsidP="00027F25">
            <w:pPr>
              <w:pStyle w:val="Citao"/>
              <w:spacing w:before="0"/>
              <w:jc w:val="both"/>
              <w:cnfStyle w:val="000000010000" w:firstRow="0" w:lastRow="0" w:firstColumn="0" w:lastColumn="0" w:oddVBand="0" w:evenVBand="0" w:oddHBand="0" w:evenHBand="1" w:firstRowFirstColumn="0" w:firstRowLastColumn="0" w:lastRowFirstColumn="0" w:lastRowLastColumn="0"/>
              <w:rPr>
                <w:i w:val="0"/>
              </w:rPr>
            </w:pPr>
            <w:r w:rsidRPr="004D0BDA">
              <w:rPr>
                <w:i w:val="0"/>
              </w:rPr>
              <w:t>O VAB foi estimado utilizando as Demonstrações Financeiras Individuais dos bancos, aplicando a seguinte fórmula:</w:t>
            </w:r>
          </w:p>
          <w:p w:rsidR="004D0BDA" w:rsidRPr="004D0BDA" w:rsidRDefault="004D0BDA" w:rsidP="00027F25">
            <w:pPr>
              <w:pStyle w:val="Citao"/>
              <w:spacing w:before="0"/>
              <w:jc w:val="both"/>
              <w:cnfStyle w:val="000000010000" w:firstRow="0" w:lastRow="0" w:firstColumn="0" w:lastColumn="0" w:oddVBand="0" w:evenVBand="0" w:oddHBand="0" w:evenHBand="1" w:firstRowFirstColumn="0" w:firstRowLastColumn="0" w:lastRowFirstColumn="0" w:lastRowLastColumn="0"/>
            </w:pPr>
            <m:oMathPara>
              <m:oMath>
                <m:r>
                  <w:rPr>
                    <w:rFonts w:ascii="Cambria Math" w:hAnsi="Cambria Math"/>
                  </w:rPr>
                  <w:lastRenderedPageBreak/>
                  <m:t>VAB=Custos com Pessoal+Prestações Sociais + Rendas e Alugueres + Custos Financeiros + Impostos Directos e Indirectos + Resultado Líquido</m:t>
                </m:r>
              </m:oMath>
            </m:oMathPara>
          </w:p>
          <w:p w:rsidR="004D0BDA" w:rsidRPr="004D0BDA" w:rsidRDefault="004D0BDA" w:rsidP="004D0BDA">
            <w:pPr>
              <w:pStyle w:val="PargrafodaLista"/>
              <w:numPr>
                <w:ilvl w:val="0"/>
                <w:numId w:val="4"/>
              </w:numPr>
              <w:ind w:left="317" w:hanging="284"/>
              <w:cnfStyle w:val="000000010000" w:firstRow="0" w:lastRow="0" w:firstColumn="0" w:lastColumn="0" w:oddVBand="0" w:evenVBand="0" w:oddHBand="0" w:evenHBand="1" w:firstRowFirstColumn="0" w:firstRowLastColumn="0" w:lastRowFirstColumn="0" w:lastRowLastColumn="0"/>
              <w:rPr>
                <w:rFonts w:eastAsia="Times New Roman" w:cs="Times New Roman"/>
              </w:rPr>
            </w:pPr>
            <w:r w:rsidRPr="004D0BDA">
              <w:rPr>
                <w:rFonts w:eastAsia="Times New Roman" w:cs="Times New Roman"/>
              </w:rPr>
              <w:t>Custos com Pessoal – incluem salários e outras remunerações pagas, líquido de impostos retidos na fonte e prestações sociais (como contribuições para segurança social e fundos de pensões). Sempre que possível, foram excluídos os gastos com aquisição de bens e serviços.</w:t>
            </w:r>
          </w:p>
          <w:p w:rsidR="004D0BDA" w:rsidRPr="004D0BDA" w:rsidRDefault="004D0BDA" w:rsidP="004D0BDA">
            <w:pPr>
              <w:pStyle w:val="PargrafodaLista"/>
              <w:numPr>
                <w:ilvl w:val="0"/>
                <w:numId w:val="4"/>
              </w:numPr>
              <w:ind w:left="317" w:hanging="284"/>
              <w:cnfStyle w:val="000000010000" w:firstRow="0" w:lastRow="0" w:firstColumn="0" w:lastColumn="0" w:oddVBand="0" w:evenVBand="0" w:oddHBand="0" w:evenHBand="1" w:firstRowFirstColumn="0" w:firstRowLastColumn="0" w:lastRowFirstColumn="0" w:lastRowLastColumn="0"/>
              <w:rPr>
                <w:rFonts w:eastAsia="Times New Roman" w:cs="Times New Roman"/>
              </w:rPr>
            </w:pPr>
            <w:r w:rsidRPr="004D0BDA">
              <w:rPr>
                <w:rFonts w:eastAsia="Times New Roman" w:cs="Times New Roman"/>
              </w:rPr>
              <w:t>Prestações Sociais – medem o rendimento transferido para as famílias, na forma de contribuições para a Segurança Social, para fundos de pensões e seguros, entre outros encargos sociais.</w:t>
            </w:r>
          </w:p>
          <w:p w:rsidR="004D0BDA" w:rsidRPr="004D0BDA" w:rsidRDefault="004D0BDA" w:rsidP="004D0BDA">
            <w:pPr>
              <w:pStyle w:val="PargrafodaLista"/>
              <w:numPr>
                <w:ilvl w:val="0"/>
                <w:numId w:val="4"/>
              </w:numPr>
              <w:ind w:left="317" w:hanging="284"/>
              <w:cnfStyle w:val="000000010000" w:firstRow="0" w:lastRow="0" w:firstColumn="0" w:lastColumn="0" w:oddVBand="0" w:evenVBand="0" w:oddHBand="0" w:evenHBand="1" w:firstRowFirstColumn="0" w:firstRowLastColumn="0" w:lastRowFirstColumn="0" w:lastRowLastColumn="0"/>
              <w:rPr>
                <w:rFonts w:eastAsia="Times New Roman" w:cs="Times New Roman"/>
              </w:rPr>
            </w:pPr>
            <w:r w:rsidRPr="004D0BDA">
              <w:rPr>
                <w:rFonts w:eastAsia="Times New Roman" w:cs="Times New Roman"/>
              </w:rPr>
              <w:t>Custos Financeiros – incluem os custos financeiros e comissões pagas. Sempre que possível, foram excluídos as comissões pagas que representam remunerações por serviços recebidos.</w:t>
            </w:r>
          </w:p>
          <w:p w:rsidR="004D0BDA" w:rsidRPr="004D0BDA" w:rsidRDefault="004D0BDA" w:rsidP="004D0BDA">
            <w:pPr>
              <w:pStyle w:val="PargrafodaLista"/>
              <w:numPr>
                <w:ilvl w:val="0"/>
                <w:numId w:val="4"/>
              </w:numPr>
              <w:ind w:left="317" w:hanging="284"/>
              <w:cnfStyle w:val="000000010000" w:firstRow="0" w:lastRow="0" w:firstColumn="0" w:lastColumn="0" w:oddVBand="0" w:evenVBand="0" w:oddHBand="0" w:evenHBand="1" w:firstRowFirstColumn="0" w:firstRowLastColumn="0" w:lastRowFirstColumn="0" w:lastRowLastColumn="0"/>
              <w:rPr>
                <w:rFonts w:eastAsia="Times New Roman" w:cs="Times New Roman"/>
              </w:rPr>
            </w:pPr>
            <w:r w:rsidRPr="004D0BDA">
              <w:rPr>
                <w:rFonts w:eastAsia="Times New Roman" w:cs="Times New Roman"/>
              </w:rPr>
              <w:t>Impostos – incluem impostos directos e indirectos, como rendimento transferido para o Estado. Considera-se que o Estado não é uma entidade geradora de rendimento.</w:t>
            </w:r>
          </w:p>
          <w:p w:rsidR="004D0BDA" w:rsidRPr="004D0BDA" w:rsidRDefault="004D0BDA" w:rsidP="004D0BDA">
            <w:pPr>
              <w:pStyle w:val="PargrafodaLista"/>
              <w:numPr>
                <w:ilvl w:val="0"/>
                <w:numId w:val="4"/>
              </w:numPr>
              <w:ind w:left="317" w:hanging="284"/>
              <w:cnfStyle w:val="000000010000" w:firstRow="0" w:lastRow="0" w:firstColumn="0" w:lastColumn="0" w:oddVBand="0" w:evenVBand="0" w:oddHBand="0" w:evenHBand="1" w:firstRowFirstColumn="0" w:firstRowLastColumn="0" w:lastRowFirstColumn="0" w:lastRowLastColumn="0"/>
            </w:pPr>
            <w:r w:rsidRPr="004D0BDA">
              <w:rPr>
                <w:rFonts w:eastAsia="Times New Roman" w:cs="Times New Roman"/>
              </w:rPr>
              <w:t>Lucros – incluem os Resultados Antes de Impostos, para neutralizar o efeito das diferentes políticas fiscais adoptadas.</w:t>
            </w:r>
          </w:p>
        </w:tc>
      </w:tr>
    </w:tbl>
    <w:p w:rsidR="007F7651" w:rsidRPr="004D0BDA" w:rsidRDefault="007F7651" w:rsidP="004D0BDA">
      <w:pPr>
        <w:spacing w:before="240" w:after="240"/>
        <w:contextualSpacing/>
      </w:pPr>
    </w:p>
    <w:sectPr w:rsidR="007F7651" w:rsidRPr="004D0BD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892" w:rsidRDefault="00607892" w:rsidP="004D0BDA">
      <w:pPr>
        <w:spacing w:line="240" w:lineRule="auto"/>
      </w:pPr>
      <w:r>
        <w:separator/>
      </w:r>
    </w:p>
  </w:endnote>
  <w:endnote w:type="continuationSeparator" w:id="0">
    <w:p w:rsidR="00607892" w:rsidRDefault="00607892" w:rsidP="004D0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Lt">
    <w:panose1 w:val="020B0403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892" w:rsidRDefault="00607892" w:rsidP="004D0BDA">
      <w:pPr>
        <w:spacing w:line="240" w:lineRule="auto"/>
      </w:pPr>
      <w:r>
        <w:separator/>
      </w:r>
    </w:p>
  </w:footnote>
  <w:footnote w:type="continuationSeparator" w:id="0">
    <w:p w:rsidR="00607892" w:rsidRDefault="00607892" w:rsidP="004D0BDA">
      <w:pPr>
        <w:spacing w:line="240" w:lineRule="auto"/>
      </w:pPr>
      <w:r>
        <w:continuationSeparator/>
      </w:r>
    </w:p>
  </w:footnote>
  <w:footnote w:id="1">
    <w:p w:rsidR="00FD4EDA" w:rsidRDefault="00FD4EDA" w:rsidP="00FD4EDA">
      <w:r w:rsidRPr="00161C69">
        <w:rPr>
          <w:rStyle w:val="RefernciaDiscreta"/>
          <w:szCs w:val="16"/>
          <w:vertAlign w:val="superscript"/>
        </w:rPr>
        <w:footnoteRef/>
      </w:r>
      <w:r w:rsidRPr="00161C69">
        <w:rPr>
          <w:rStyle w:val="RefernciaDiscreta"/>
          <w:szCs w:val="16"/>
        </w:rPr>
        <w:t xml:space="preserve"> Ver</w:t>
      </w:r>
      <w:r>
        <w:rPr>
          <w:rStyle w:val="RefernciaDiscreta"/>
          <w:szCs w:val="16"/>
        </w:rPr>
        <w:t xml:space="preserve"> Metodologia. São mencionados em nota de rodapé as instâncias em que a amostra foi reajustada por falta de dados.</w:t>
      </w:r>
    </w:p>
  </w:footnote>
  <w:footnote w:id="2">
    <w:p w:rsidR="00FD4EDA" w:rsidRDefault="00FD4EDA" w:rsidP="00FD4EDA">
      <w:r w:rsidRPr="003E5CE0">
        <w:rPr>
          <w:rStyle w:val="RefernciaDiscreta"/>
          <w:szCs w:val="16"/>
          <w:vertAlign w:val="superscript"/>
        </w:rPr>
        <w:footnoteRef/>
      </w:r>
      <w:r w:rsidRPr="003E5CE0">
        <w:rPr>
          <w:rStyle w:val="RefernciaDiscreta"/>
          <w:szCs w:val="16"/>
          <w:vertAlign w:val="superscript"/>
        </w:rPr>
        <w:t xml:space="preserve"> </w:t>
      </w:r>
      <w:r w:rsidRPr="003E5CE0">
        <w:rPr>
          <w:rStyle w:val="RefernciaDiscreta"/>
          <w:szCs w:val="16"/>
        </w:rPr>
        <w:t xml:space="preserve">Para garantir a comparabilidade dos dados e </w:t>
      </w:r>
      <w:r>
        <w:rPr>
          <w:rStyle w:val="RefernciaDiscreta"/>
          <w:szCs w:val="16"/>
        </w:rPr>
        <w:t xml:space="preserve">melhor </w:t>
      </w:r>
      <w:r w:rsidRPr="003E5CE0">
        <w:rPr>
          <w:rStyle w:val="RefernciaDiscreta"/>
          <w:szCs w:val="16"/>
        </w:rPr>
        <w:t xml:space="preserve">análise da evolução </w:t>
      </w:r>
      <w:r>
        <w:rPr>
          <w:rStyle w:val="RefernciaDiscreta"/>
          <w:szCs w:val="16"/>
        </w:rPr>
        <w:t>no período</w:t>
      </w:r>
      <w:r w:rsidRPr="003E5CE0">
        <w:rPr>
          <w:rStyle w:val="RefernciaDiscreta"/>
          <w:szCs w:val="16"/>
        </w:rPr>
        <w:t xml:space="preserve">, </w:t>
      </w:r>
      <w:r>
        <w:rPr>
          <w:rStyle w:val="RefernciaDiscreta"/>
          <w:szCs w:val="16"/>
        </w:rPr>
        <w:t>os segmentos têm a mesma constituição para todos os anos do período em análise, ou seja, o agrupamento das instituições nos diversos segmentos para o período 2009-2013 foi feito segundo a distribuição dos activos em 2013,</w:t>
      </w:r>
      <w:r w:rsidRPr="003E5CE0">
        <w:rPr>
          <w:rStyle w:val="RefernciaDiscreta"/>
          <w:szCs w:val="16"/>
        </w:rPr>
        <w:t xml:space="preserve"> de modo a </w:t>
      </w:r>
      <w:r>
        <w:rPr>
          <w:rStyle w:val="RefernciaDiscreta"/>
          <w:szCs w:val="16"/>
        </w:rPr>
        <w:t>que a constituição dos segmentos fosse</w:t>
      </w:r>
      <w:r w:rsidRPr="003E5CE0">
        <w:rPr>
          <w:rStyle w:val="RefernciaDiscreta"/>
          <w:szCs w:val="16"/>
        </w:rPr>
        <w:t xml:space="preserve"> uniforme para todo o per</w:t>
      </w:r>
      <w:r>
        <w:rPr>
          <w:rStyle w:val="RefernciaDiscreta"/>
          <w:szCs w:val="16"/>
        </w:rPr>
        <w:t>íodo.</w:t>
      </w:r>
    </w:p>
  </w:footnote>
  <w:footnote w:id="3">
    <w:p w:rsidR="00FD4EDA" w:rsidRPr="00161C69" w:rsidRDefault="00FD4EDA" w:rsidP="00FD4EDA">
      <w:pPr>
        <w:rPr>
          <w:rStyle w:val="RefernciaDiscreta"/>
          <w:szCs w:val="16"/>
        </w:rPr>
      </w:pPr>
      <w:r w:rsidRPr="00161C69">
        <w:rPr>
          <w:rStyle w:val="RefernciaDiscreta"/>
          <w:szCs w:val="16"/>
          <w:vertAlign w:val="superscript"/>
        </w:rPr>
        <w:footnoteRef/>
      </w:r>
      <w:r w:rsidRPr="00161C69">
        <w:rPr>
          <w:rStyle w:val="RefernciaDiscreta"/>
          <w:szCs w:val="16"/>
        </w:rPr>
        <w:t xml:space="preserve"> A amostra em 201</w:t>
      </w:r>
      <w:r>
        <w:rPr>
          <w:rStyle w:val="RefernciaDiscreta"/>
          <w:szCs w:val="16"/>
        </w:rPr>
        <w:t>3</w:t>
      </w:r>
      <w:r w:rsidRPr="00161C69">
        <w:rPr>
          <w:rStyle w:val="RefernciaDiscreta"/>
          <w:szCs w:val="16"/>
        </w:rPr>
        <w:t xml:space="preserve"> </w:t>
      </w:r>
      <w:r>
        <w:rPr>
          <w:rStyle w:val="RefernciaDiscreta"/>
          <w:szCs w:val="16"/>
        </w:rPr>
        <w:t xml:space="preserve">é </w:t>
      </w:r>
      <w:r w:rsidRPr="00161C69">
        <w:rPr>
          <w:rStyle w:val="RefernciaDiscreta"/>
          <w:szCs w:val="16"/>
        </w:rPr>
        <w:t>constituída por</w:t>
      </w:r>
      <w:r>
        <w:rPr>
          <w:rStyle w:val="RefernciaDiscreta"/>
          <w:szCs w:val="16"/>
        </w:rPr>
        <w:t xml:space="preserve"> 21</w:t>
      </w:r>
      <w:r w:rsidRPr="001E3B03">
        <w:rPr>
          <w:rStyle w:val="RefernciaDiscreta"/>
          <w:szCs w:val="16"/>
        </w:rPr>
        <w:t xml:space="preserve"> </w:t>
      </w:r>
      <w:r w:rsidRPr="00161C69">
        <w:rPr>
          <w:rStyle w:val="RefernciaDiscreta"/>
          <w:szCs w:val="16"/>
        </w:rPr>
        <w:t>instituições, pois o banco</w:t>
      </w:r>
      <w:r>
        <w:rPr>
          <w:rStyle w:val="RefernciaDiscreta"/>
          <w:szCs w:val="16"/>
        </w:rPr>
        <w:t xml:space="preserve"> BKI não foi integrado</w:t>
      </w:r>
      <w:r w:rsidRPr="00161C69">
        <w:rPr>
          <w:rStyle w:val="RefernciaDiscreta"/>
          <w:szCs w:val="16"/>
        </w:rPr>
        <w:t xml:space="preserve"> por falta de dados. </w:t>
      </w:r>
    </w:p>
  </w:footnote>
  <w:footnote w:id="4">
    <w:p w:rsidR="004D0BDA" w:rsidRPr="004D0BDA" w:rsidRDefault="004D0BDA" w:rsidP="004D0BDA">
      <w:pPr>
        <w:pStyle w:val="Textodenotaderodap"/>
        <w:rPr>
          <w:rFonts w:ascii="HelveticaNeueLT Std Lt" w:hAnsi="HelveticaNeueLT Std Lt"/>
          <w:sz w:val="16"/>
          <w:szCs w:val="16"/>
        </w:rPr>
      </w:pPr>
      <w:r w:rsidRPr="004D0BDA">
        <w:rPr>
          <w:rStyle w:val="Refdenotaderodap"/>
          <w:rFonts w:ascii="HelveticaNeueLT Std Lt" w:hAnsi="HelveticaNeueLT Std Lt"/>
          <w:sz w:val="16"/>
          <w:szCs w:val="16"/>
        </w:rPr>
        <w:footnoteRef/>
      </w:r>
      <w:r w:rsidRPr="004D0BDA">
        <w:rPr>
          <w:rFonts w:ascii="HelveticaNeueLT Std Lt" w:hAnsi="HelveticaNeueLT Std Lt"/>
          <w:sz w:val="16"/>
          <w:szCs w:val="16"/>
        </w:rPr>
        <w:t xml:space="preserve"> O BNA define o conceito de est</w:t>
      </w:r>
      <w:r w:rsidRPr="004D0BDA">
        <w:rPr>
          <w:rFonts w:ascii="HelveticaNeueLT Std Lt" w:eastAsia="Times New Roman" w:hAnsi="HelveticaNeueLT Std Lt" w:cs="Times New Roman"/>
          <w:sz w:val="16"/>
          <w:szCs w:val="16"/>
        </w:rPr>
        <w:t>abelecimento estável, segundo a Lei das Sociedades Comerciais (Lei nº 4/2004)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244CD"/>
    <w:multiLevelType w:val="hybridMultilevel"/>
    <w:tmpl w:val="516E5AD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31030BAD"/>
    <w:multiLevelType w:val="hybridMultilevel"/>
    <w:tmpl w:val="BC94F348"/>
    <w:lvl w:ilvl="0" w:tplc="8E1C3F8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EE577C"/>
    <w:multiLevelType w:val="hybridMultilevel"/>
    <w:tmpl w:val="FA8EE4AC"/>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3">
    <w:nsid w:val="750B6DE7"/>
    <w:multiLevelType w:val="hybridMultilevel"/>
    <w:tmpl w:val="0158E88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791619CC"/>
    <w:multiLevelType w:val="hybridMultilevel"/>
    <w:tmpl w:val="C9960F5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BDA"/>
    <w:rsid w:val="00295F3D"/>
    <w:rsid w:val="004D0BDA"/>
    <w:rsid w:val="00607892"/>
    <w:rsid w:val="006411CD"/>
    <w:rsid w:val="007F7651"/>
    <w:rsid w:val="00AF4432"/>
    <w:rsid w:val="00FD4ED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BDA"/>
    <w:pPr>
      <w:spacing w:after="0" w:line="360" w:lineRule="auto"/>
      <w:jc w:val="both"/>
    </w:pPr>
    <w:rPr>
      <w:rFonts w:ascii="HelveticaNeueLT Std Lt" w:eastAsiaTheme="minorEastAsia" w:hAnsi="HelveticaNeueLT Std Lt"/>
      <w:lang w:eastAsia="pt-PT"/>
    </w:rPr>
  </w:style>
  <w:style w:type="paragraph" w:styleId="Cabealho1">
    <w:name w:val="heading 1"/>
    <w:basedOn w:val="Normal"/>
    <w:next w:val="Normal"/>
    <w:link w:val="Cabealho1Carcter1"/>
    <w:uiPriority w:val="9"/>
    <w:qFormat/>
    <w:rsid w:val="004D0BDA"/>
    <w:pPr>
      <w:keepNext/>
      <w:keepLines/>
      <w:spacing w:before="480"/>
      <w:outlineLvl w:val="0"/>
    </w:pPr>
    <w:rPr>
      <w:rFonts w:eastAsiaTheme="majorEastAsia" w:cstheme="majorBidi"/>
      <w:b/>
      <w:bCs/>
      <w:color w:val="D81F2A"/>
      <w:sz w:val="28"/>
      <w:szCs w:val="28"/>
    </w:rPr>
  </w:style>
  <w:style w:type="paragraph" w:styleId="Cabealho2">
    <w:name w:val="heading 2"/>
    <w:basedOn w:val="Normal"/>
    <w:next w:val="Normal"/>
    <w:link w:val="Cabealho2Carcter1"/>
    <w:uiPriority w:val="9"/>
    <w:unhideWhenUsed/>
    <w:qFormat/>
    <w:rsid w:val="004D0BDA"/>
    <w:pPr>
      <w:keepNext/>
      <w:keepLines/>
      <w:spacing w:before="200"/>
      <w:outlineLvl w:val="1"/>
    </w:pPr>
    <w:rPr>
      <w:rFonts w:eastAsiaTheme="majorEastAsia" w:cstheme="majorBidi"/>
      <w:b/>
      <w:bCs/>
      <w:color w:val="D81F2A"/>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uiPriority w:val="9"/>
    <w:rsid w:val="004D0BDA"/>
    <w:rPr>
      <w:rFonts w:asciiTheme="majorHAnsi" w:eastAsiaTheme="majorEastAsia" w:hAnsiTheme="majorHAnsi" w:cstheme="majorBidi"/>
      <w:b/>
      <w:bCs/>
      <w:color w:val="365F91" w:themeColor="accent1" w:themeShade="BF"/>
      <w:sz w:val="28"/>
      <w:szCs w:val="28"/>
      <w:lang w:eastAsia="pt-PT"/>
    </w:rPr>
  </w:style>
  <w:style w:type="character" w:customStyle="1" w:styleId="Cabealho2Carcter">
    <w:name w:val="Cabeçalho 2 Carácter"/>
    <w:basedOn w:val="Tipodeletrapredefinidodopargrafo"/>
    <w:uiPriority w:val="9"/>
    <w:semiHidden/>
    <w:rsid w:val="004D0BDA"/>
    <w:rPr>
      <w:rFonts w:asciiTheme="majorHAnsi" w:eastAsiaTheme="majorEastAsia" w:hAnsiTheme="majorHAnsi" w:cstheme="majorBidi"/>
      <w:b/>
      <w:bCs/>
      <w:color w:val="4F81BD" w:themeColor="accent1"/>
      <w:sz w:val="26"/>
      <w:szCs w:val="26"/>
      <w:lang w:eastAsia="pt-PT"/>
    </w:rPr>
  </w:style>
  <w:style w:type="character" w:customStyle="1" w:styleId="Cabealho1Carcter1">
    <w:name w:val="Cabeçalho 1 Carácter1"/>
    <w:basedOn w:val="Tipodeletrapredefinidodopargrafo"/>
    <w:link w:val="Cabealho1"/>
    <w:uiPriority w:val="9"/>
    <w:rsid w:val="004D0BDA"/>
    <w:rPr>
      <w:rFonts w:ascii="HelveticaNeueLT Std Lt" w:eastAsiaTheme="majorEastAsia" w:hAnsi="HelveticaNeueLT Std Lt" w:cstheme="majorBidi"/>
      <w:b/>
      <w:bCs/>
      <w:color w:val="D81F2A"/>
      <w:sz w:val="28"/>
      <w:szCs w:val="28"/>
      <w:lang w:eastAsia="pt-PT"/>
    </w:rPr>
  </w:style>
  <w:style w:type="character" w:customStyle="1" w:styleId="TextodenotaderodapCarcter">
    <w:name w:val="Texto de nota de rodapé Carácter"/>
    <w:basedOn w:val="Tipodeletrapredefinidodopargrafo"/>
    <w:link w:val="Textodenotaderodap"/>
    <w:uiPriority w:val="99"/>
    <w:rsid w:val="004D0BDA"/>
    <w:rPr>
      <w:rFonts w:asciiTheme="majorHAnsi" w:eastAsiaTheme="minorEastAsia" w:hAnsiTheme="majorHAnsi"/>
      <w:sz w:val="20"/>
      <w:szCs w:val="20"/>
      <w:lang w:eastAsia="pt-PT"/>
    </w:rPr>
  </w:style>
  <w:style w:type="character" w:styleId="Refdenotaderodap">
    <w:name w:val="footnote reference"/>
    <w:basedOn w:val="Tipodeletrapredefinidodopargrafo"/>
    <w:unhideWhenUsed/>
    <w:rsid w:val="004D0BDA"/>
    <w:rPr>
      <w:vertAlign w:val="superscript"/>
    </w:rPr>
  </w:style>
  <w:style w:type="paragraph" w:styleId="Legenda">
    <w:name w:val="caption"/>
    <w:basedOn w:val="Normal"/>
    <w:next w:val="Normal"/>
    <w:uiPriority w:val="35"/>
    <w:unhideWhenUsed/>
    <w:qFormat/>
    <w:rsid w:val="004D0BDA"/>
    <w:pPr>
      <w:keepNext/>
    </w:pPr>
    <w:rPr>
      <w:b/>
      <w:bCs/>
      <w:noProof/>
      <w:szCs w:val="18"/>
    </w:rPr>
  </w:style>
  <w:style w:type="paragraph" w:styleId="PargrafodaLista">
    <w:name w:val="List Paragraph"/>
    <w:basedOn w:val="Normal"/>
    <w:uiPriority w:val="34"/>
    <w:qFormat/>
    <w:rsid w:val="004D0BDA"/>
    <w:pPr>
      <w:ind w:left="720"/>
      <w:contextualSpacing/>
    </w:pPr>
  </w:style>
  <w:style w:type="character" w:customStyle="1" w:styleId="Cabealho2Carcter1">
    <w:name w:val="Cabeçalho 2 Carácter1"/>
    <w:basedOn w:val="Tipodeletrapredefinidodopargrafo"/>
    <w:link w:val="Cabealho2"/>
    <w:uiPriority w:val="9"/>
    <w:rsid w:val="004D0BDA"/>
    <w:rPr>
      <w:rFonts w:ascii="HelveticaNeueLT Std Lt" w:eastAsiaTheme="majorEastAsia" w:hAnsi="HelveticaNeueLT Std Lt" w:cstheme="majorBidi"/>
      <w:b/>
      <w:bCs/>
      <w:color w:val="D81F2A"/>
      <w:sz w:val="26"/>
      <w:szCs w:val="26"/>
      <w:lang w:eastAsia="pt-PT"/>
    </w:rPr>
  </w:style>
  <w:style w:type="paragraph" w:styleId="Citao">
    <w:name w:val="Quote"/>
    <w:basedOn w:val="Normal"/>
    <w:next w:val="Normal"/>
    <w:link w:val="CitaoCarcter"/>
    <w:uiPriority w:val="29"/>
    <w:qFormat/>
    <w:rsid w:val="004D0BDA"/>
    <w:pPr>
      <w:spacing w:before="240" w:after="240"/>
      <w:contextualSpacing/>
      <w:jc w:val="right"/>
    </w:pPr>
    <w:rPr>
      <w:i/>
    </w:rPr>
  </w:style>
  <w:style w:type="character" w:customStyle="1" w:styleId="CitaoCarcter">
    <w:name w:val="Citação Carácter"/>
    <w:basedOn w:val="Tipodeletrapredefinidodopargrafo"/>
    <w:link w:val="Citao"/>
    <w:uiPriority w:val="29"/>
    <w:rsid w:val="004D0BDA"/>
    <w:rPr>
      <w:rFonts w:ascii="HelveticaNeueLT Std Lt" w:eastAsiaTheme="minorEastAsia" w:hAnsi="HelveticaNeueLT Std Lt"/>
      <w:i/>
      <w:lang w:eastAsia="pt-PT"/>
    </w:rPr>
  </w:style>
  <w:style w:type="character" w:styleId="Forte">
    <w:name w:val="Strong"/>
    <w:basedOn w:val="Tipodeletrapredefinidodopargrafo"/>
    <w:uiPriority w:val="22"/>
    <w:qFormat/>
    <w:rsid w:val="004D0BDA"/>
    <w:rPr>
      <w:b/>
      <w:bCs/>
    </w:rPr>
  </w:style>
  <w:style w:type="table" w:customStyle="1" w:styleId="ABANC">
    <w:name w:val="ABANC"/>
    <w:basedOn w:val="Tabelanormal"/>
    <w:uiPriority w:val="99"/>
    <w:rsid w:val="004D0BDA"/>
    <w:pPr>
      <w:spacing w:after="0" w:line="240" w:lineRule="auto"/>
    </w:pPr>
    <w:rPr>
      <w:rFonts w:eastAsiaTheme="minorEastAsia"/>
      <w:lang w:eastAsia="pt-PT"/>
    </w:rPr>
    <w:tblPr>
      <w:tblStyleRowBandSize w:val="1"/>
      <w:tblBorders>
        <w:top w:val="single" w:sz="4" w:space="0" w:color="auto"/>
        <w:bottom w:val="single" w:sz="4" w:space="0" w:color="auto"/>
      </w:tblBorders>
    </w:tblPr>
    <w:tcPr>
      <w:vAlign w:val="center"/>
    </w:tcPr>
    <w:tblStylePr w:type="firstRow">
      <w:pPr>
        <w:jc w:val="center"/>
      </w:pPr>
      <w:rPr>
        <w:rFonts w:asciiTheme="majorHAnsi" w:hAnsiTheme="majorHAnsi"/>
        <w:sz w:val="20"/>
      </w:rPr>
      <w:tblPr/>
      <w:tcPr>
        <w:tcBorders>
          <w:top w:val="single" w:sz="4" w:space="0" w:color="auto"/>
          <w:bottom w:val="single" w:sz="4" w:space="0" w:color="auto"/>
        </w:tcBorders>
        <w:shd w:val="clear" w:color="auto" w:fill="ED1C24"/>
      </w:tcPr>
    </w:tblStylePr>
    <w:tblStylePr w:type="firstCol">
      <w:pPr>
        <w:jc w:val="left"/>
      </w:pPr>
      <w:tblPr/>
      <w:tcPr>
        <w:vAlign w:val="center"/>
      </w:tcPr>
    </w:tblStylePr>
    <w:tblStylePr w:type="band1Horz">
      <w:pPr>
        <w:jc w:val="right"/>
      </w:pPr>
      <w:tblPr/>
      <w:tcPr>
        <w:vAlign w:val="center"/>
      </w:tcPr>
    </w:tblStylePr>
    <w:tblStylePr w:type="band2Horz">
      <w:pPr>
        <w:jc w:val="right"/>
      </w:pPr>
      <w:tblPr/>
      <w:tcPr>
        <w:vAlign w:val="center"/>
      </w:tcPr>
    </w:tblStylePr>
  </w:style>
  <w:style w:type="paragraph" w:styleId="Textodenotaderodap">
    <w:name w:val="footnote text"/>
    <w:basedOn w:val="Normal"/>
    <w:link w:val="TextodenotaderodapCarcter"/>
    <w:uiPriority w:val="99"/>
    <w:unhideWhenUsed/>
    <w:rsid w:val="004D0BDA"/>
    <w:pPr>
      <w:spacing w:line="240" w:lineRule="auto"/>
    </w:pPr>
    <w:rPr>
      <w:rFonts w:asciiTheme="majorHAnsi" w:hAnsiTheme="majorHAnsi"/>
      <w:sz w:val="20"/>
      <w:szCs w:val="20"/>
    </w:rPr>
  </w:style>
  <w:style w:type="character" w:customStyle="1" w:styleId="TextodenotaderodapCarcter1">
    <w:name w:val="Texto de nota de rodapé Carácter1"/>
    <w:basedOn w:val="Tipodeletrapredefinidodopargrafo"/>
    <w:uiPriority w:val="99"/>
    <w:semiHidden/>
    <w:rsid w:val="004D0BDA"/>
    <w:rPr>
      <w:rFonts w:ascii="HelveticaNeueLT Std Lt" w:eastAsiaTheme="minorEastAsia" w:hAnsi="HelveticaNeueLT Std Lt"/>
      <w:sz w:val="20"/>
      <w:szCs w:val="20"/>
      <w:lang w:eastAsia="pt-PT"/>
    </w:rPr>
  </w:style>
  <w:style w:type="paragraph" w:styleId="Textodebalo">
    <w:name w:val="Balloon Text"/>
    <w:basedOn w:val="Normal"/>
    <w:link w:val="TextodebaloCarcter"/>
    <w:uiPriority w:val="99"/>
    <w:semiHidden/>
    <w:unhideWhenUsed/>
    <w:rsid w:val="004D0BDA"/>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D0BDA"/>
    <w:rPr>
      <w:rFonts w:ascii="Tahoma" w:eastAsiaTheme="minorEastAsia" w:hAnsi="Tahoma" w:cs="Tahoma"/>
      <w:sz w:val="16"/>
      <w:szCs w:val="16"/>
      <w:lang w:eastAsia="pt-PT"/>
    </w:rPr>
  </w:style>
  <w:style w:type="character" w:styleId="RefernciaDiscreta">
    <w:name w:val="Subtle Reference"/>
    <w:aliases w:val="Nota de Rodapé"/>
    <w:uiPriority w:val="31"/>
    <w:qFormat/>
    <w:rsid w:val="00FD4EDA"/>
    <w:rPr>
      <w:rFonts w:ascii="HelveticaNeueLT Std Lt" w:hAnsi="HelveticaNeueLT Std Lt"/>
      <w:sz w:val="16"/>
    </w:rPr>
  </w:style>
  <w:style w:type="paragraph" w:customStyle="1" w:styleId="Fontes">
    <w:name w:val="Fontes"/>
    <w:basedOn w:val="Normal"/>
    <w:link w:val="FontesChar"/>
    <w:qFormat/>
    <w:rsid w:val="00FD4EDA"/>
    <w:rPr>
      <w:sz w:val="18"/>
    </w:rPr>
  </w:style>
  <w:style w:type="character" w:customStyle="1" w:styleId="FontesChar">
    <w:name w:val="Fontes Char"/>
    <w:basedOn w:val="Tipodeletrapredefinidodopargrafo"/>
    <w:link w:val="Fontes"/>
    <w:rsid w:val="00FD4EDA"/>
    <w:rPr>
      <w:rFonts w:ascii="HelveticaNeueLT Std Lt" w:eastAsiaTheme="minorEastAsia" w:hAnsi="HelveticaNeueLT Std Lt"/>
      <w:sz w:val="18"/>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BDA"/>
    <w:pPr>
      <w:spacing w:after="0" w:line="360" w:lineRule="auto"/>
      <w:jc w:val="both"/>
    </w:pPr>
    <w:rPr>
      <w:rFonts w:ascii="HelveticaNeueLT Std Lt" w:eastAsiaTheme="minorEastAsia" w:hAnsi="HelveticaNeueLT Std Lt"/>
      <w:lang w:eastAsia="pt-PT"/>
    </w:rPr>
  </w:style>
  <w:style w:type="paragraph" w:styleId="Cabealho1">
    <w:name w:val="heading 1"/>
    <w:basedOn w:val="Normal"/>
    <w:next w:val="Normal"/>
    <w:link w:val="Cabealho1Carcter1"/>
    <w:uiPriority w:val="9"/>
    <w:qFormat/>
    <w:rsid w:val="004D0BDA"/>
    <w:pPr>
      <w:keepNext/>
      <w:keepLines/>
      <w:spacing w:before="480"/>
      <w:outlineLvl w:val="0"/>
    </w:pPr>
    <w:rPr>
      <w:rFonts w:eastAsiaTheme="majorEastAsia" w:cstheme="majorBidi"/>
      <w:b/>
      <w:bCs/>
      <w:color w:val="D81F2A"/>
      <w:sz w:val="28"/>
      <w:szCs w:val="28"/>
    </w:rPr>
  </w:style>
  <w:style w:type="paragraph" w:styleId="Cabealho2">
    <w:name w:val="heading 2"/>
    <w:basedOn w:val="Normal"/>
    <w:next w:val="Normal"/>
    <w:link w:val="Cabealho2Carcter1"/>
    <w:uiPriority w:val="9"/>
    <w:unhideWhenUsed/>
    <w:qFormat/>
    <w:rsid w:val="004D0BDA"/>
    <w:pPr>
      <w:keepNext/>
      <w:keepLines/>
      <w:spacing w:before="200"/>
      <w:outlineLvl w:val="1"/>
    </w:pPr>
    <w:rPr>
      <w:rFonts w:eastAsiaTheme="majorEastAsia" w:cstheme="majorBidi"/>
      <w:b/>
      <w:bCs/>
      <w:color w:val="D81F2A"/>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uiPriority w:val="9"/>
    <w:rsid w:val="004D0BDA"/>
    <w:rPr>
      <w:rFonts w:asciiTheme="majorHAnsi" w:eastAsiaTheme="majorEastAsia" w:hAnsiTheme="majorHAnsi" w:cstheme="majorBidi"/>
      <w:b/>
      <w:bCs/>
      <w:color w:val="365F91" w:themeColor="accent1" w:themeShade="BF"/>
      <w:sz w:val="28"/>
      <w:szCs w:val="28"/>
      <w:lang w:eastAsia="pt-PT"/>
    </w:rPr>
  </w:style>
  <w:style w:type="character" w:customStyle="1" w:styleId="Cabealho2Carcter">
    <w:name w:val="Cabeçalho 2 Carácter"/>
    <w:basedOn w:val="Tipodeletrapredefinidodopargrafo"/>
    <w:uiPriority w:val="9"/>
    <w:semiHidden/>
    <w:rsid w:val="004D0BDA"/>
    <w:rPr>
      <w:rFonts w:asciiTheme="majorHAnsi" w:eastAsiaTheme="majorEastAsia" w:hAnsiTheme="majorHAnsi" w:cstheme="majorBidi"/>
      <w:b/>
      <w:bCs/>
      <w:color w:val="4F81BD" w:themeColor="accent1"/>
      <w:sz w:val="26"/>
      <w:szCs w:val="26"/>
      <w:lang w:eastAsia="pt-PT"/>
    </w:rPr>
  </w:style>
  <w:style w:type="character" w:customStyle="1" w:styleId="Cabealho1Carcter1">
    <w:name w:val="Cabeçalho 1 Carácter1"/>
    <w:basedOn w:val="Tipodeletrapredefinidodopargrafo"/>
    <w:link w:val="Cabealho1"/>
    <w:uiPriority w:val="9"/>
    <w:rsid w:val="004D0BDA"/>
    <w:rPr>
      <w:rFonts w:ascii="HelveticaNeueLT Std Lt" w:eastAsiaTheme="majorEastAsia" w:hAnsi="HelveticaNeueLT Std Lt" w:cstheme="majorBidi"/>
      <w:b/>
      <w:bCs/>
      <w:color w:val="D81F2A"/>
      <w:sz w:val="28"/>
      <w:szCs w:val="28"/>
      <w:lang w:eastAsia="pt-PT"/>
    </w:rPr>
  </w:style>
  <w:style w:type="character" w:customStyle="1" w:styleId="TextodenotaderodapCarcter">
    <w:name w:val="Texto de nota de rodapé Carácter"/>
    <w:basedOn w:val="Tipodeletrapredefinidodopargrafo"/>
    <w:link w:val="Textodenotaderodap"/>
    <w:uiPriority w:val="99"/>
    <w:rsid w:val="004D0BDA"/>
    <w:rPr>
      <w:rFonts w:asciiTheme="majorHAnsi" w:eastAsiaTheme="minorEastAsia" w:hAnsiTheme="majorHAnsi"/>
      <w:sz w:val="20"/>
      <w:szCs w:val="20"/>
      <w:lang w:eastAsia="pt-PT"/>
    </w:rPr>
  </w:style>
  <w:style w:type="character" w:styleId="Refdenotaderodap">
    <w:name w:val="footnote reference"/>
    <w:basedOn w:val="Tipodeletrapredefinidodopargrafo"/>
    <w:unhideWhenUsed/>
    <w:rsid w:val="004D0BDA"/>
    <w:rPr>
      <w:vertAlign w:val="superscript"/>
    </w:rPr>
  </w:style>
  <w:style w:type="paragraph" w:styleId="Legenda">
    <w:name w:val="caption"/>
    <w:basedOn w:val="Normal"/>
    <w:next w:val="Normal"/>
    <w:uiPriority w:val="35"/>
    <w:unhideWhenUsed/>
    <w:qFormat/>
    <w:rsid w:val="004D0BDA"/>
    <w:pPr>
      <w:keepNext/>
    </w:pPr>
    <w:rPr>
      <w:b/>
      <w:bCs/>
      <w:noProof/>
      <w:szCs w:val="18"/>
    </w:rPr>
  </w:style>
  <w:style w:type="paragraph" w:styleId="PargrafodaLista">
    <w:name w:val="List Paragraph"/>
    <w:basedOn w:val="Normal"/>
    <w:uiPriority w:val="34"/>
    <w:qFormat/>
    <w:rsid w:val="004D0BDA"/>
    <w:pPr>
      <w:ind w:left="720"/>
      <w:contextualSpacing/>
    </w:pPr>
  </w:style>
  <w:style w:type="character" w:customStyle="1" w:styleId="Cabealho2Carcter1">
    <w:name w:val="Cabeçalho 2 Carácter1"/>
    <w:basedOn w:val="Tipodeletrapredefinidodopargrafo"/>
    <w:link w:val="Cabealho2"/>
    <w:uiPriority w:val="9"/>
    <w:rsid w:val="004D0BDA"/>
    <w:rPr>
      <w:rFonts w:ascii="HelveticaNeueLT Std Lt" w:eastAsiaTheme="majorEastAsia" w:hAnsi="HelveticaNeueLT Std Lt" w:cstheme="majorBidi"/>
      <w:b/>
      <w:bCs/>
      <w:color w:val="D81F2A"/>
      <w:sz w:val="26"/>
      <w:szCs w:val="26"/>
      <w:lang w:eastAsia="pt-PT"/>
    </w:rPr>
  </w:style>
  <w:style w:type="paragraph" w:styleId="Citao">
    <w:name w:val="Quote"/>
    <w:basedOn w:val="Normal"/>
    <w:next w:val="Normal"/>
    <w:link w:val="CitaoCarcter"/>
    <w:uiPriority w:val="29"/>
    <w:qFormat/>
    <w:rsid w:val="004D0BDA"/>
    <w:pPr>
      <w:spacing w:before="240" w:after="240"/>
      <w:contextualSpacing/>
      <w:jc w:val="right"/>
    </w:pPr>
    <w:rPr>
      <w:i/>
    </w:rPr>
  </w:style>
  <w:style w:type="character" w:customStyle="1" w:styleId="CitaoCarcter">
    <w:name w:val="Citação Carácter"/>
    <w:basedOn w:val="Tipodeletrapredefinidodopargrafo"/>
    <w:link w:val="Citao"/>
    <w:uiPriority w:val="29"/>
    <w:rsid w:val="004D0BDA"/>
    <w:rPr>
      <w:rFonts w:ascii="HelveticaNeueLT Std Lt" w:eastAsiaTheme="minorEastAsia" w:hAnsi="HelveticaNeueLT Std Lt"/>
      <w:i/>
      <w:lang w:eastAsia="pt-PT"/>
    </w:rPr>
  </w:style>
  <w:style w:type="character" w:styleId="Forte">
    <w:name w:val="Strong"/>
    <w:basedOn w:val="Tipodeletrapredefinidodopargrafo"/>
    <w:uiPriority w:val="22"/>
    <w:qFormat/>
    <w:rsid w:val="004D0BDA"/>
    <w:rPr>
      <w:b/>
      <w:bCs/>
    </w:rPr>
  </w:style>
  <w:style w:type="table" w:customStyle="1" w:styleId="ABANC">
    <w:name w:val="ABANC"/>
    <w:basedOn w:val="Tabelanormal"/>
    <w:uiPriority w:val="99"/>
    <w:rsid w:val="004D0BDA"/>
    <w:pPr>
      <w:spacing w:after="0" w:line="240" w:lineRule="auto"/>
    </w:pPr>
    <w:rPr>
      <w:rFonts w:eastAsiaTheme="minorEastAsia"/>
      <w:lang w:eastAsia="pt-PT"/>
    </w:rPr>
    <w:tblPr>
      <w:tblStyleRowBandSize w:val="1"/>
      <w:tblBorders>
        <w:top w:val="single" w:sz="4" w:space="0" w:color="auto"/>
        <w:bottom w:val="single" w:sz="4" w:space="0" w:color="auto"/>
      </w:tblBorders>
    </w:tblPr>
    <w:tcPr>
      <w:vAlign w:val="center"/>
    </w:tcPr>
    <w:tblStylePr w:type="firstRow">
      <w:pPr>
        <w:jc w:val="center"/>
      </w:pPr>
      <w:rPr>
        <w:rFonts w:asciiTheme="majorHAnsi" w:hAnsiTheme="majorHAnsi"/>
        <w:sz w:val="20"/>
      </w:rPr>
      <w:tblPr/>
      <w:tcPr>
        <w:tcBorders>
          <w:top w:val="single" w:sz="4" w:space="0" w:color="auto"/>
          <w:bottom w:val="single" w:sz="4" w:space="0" w:color="auto"/>
        </w:tcBorders>
        <w:shd w:val="clear" w:color="auto" w:fill="ED1C24"/>
      </w:tcPr>
    </w:tblStylePr>
    <w:tblStylePr w:type="firstCol">
      <w:pPr>
        <w:jc w:val="left"/>
      </w:pPr>
      <w:tblPr/>
      <w:tcPr>
        <w:vAlign w:val="center"/>
      </w:tcPr>
    </w:tblStylePr>
    <w:tblStylePr w:type="band1Horz">
      <w:pPr>
        <w:jc w:val="right"/>
      </w:pPr>
      <w:tblPr/>
      <w:tcPr>
        <w:vAlign w:val="center"/>
      </w:tcPr>
    </w:tblStylePr>
    <w:tblStylePr w:type="band2Horz">
      <w:pPr>
        <w:jc w:val="right"/>
      </w:pPr>
      <w:tblPr/>
      <w:tcPr>
        <w:vAlign w:val="center"/>
      </w:tcPr>
    </w:tblStylePr>
  </w:style>
  <w:style w:type="paragraph" w:styleId="Textodenotaderodap">
    <w:name w:val="footnote text"/>
    <w:basedOn w:val="Normal"/>
    <w:link w:val="TextodenotaderodapCarcter"/>
    <w:uiPriority w:val="99"/>
    <w:unhideWhenUsed/>
    <w:rsid w:val="004D0BDA"/>
    <w:pPr>
      <w:spacing w:line="240" w:lineRule="auto"/>
    </w:pPr>
    <w:rPr>
      <w:rFonts w:asciiTheme="majorHAnsi" w:hAnsiTheme="majorHAnsi"/>
      <w:sz w:val="20"/>
      <w:szCs w:val="20"/>
    </w:rPr>
  </w:style>
  <w:style w:type="character" w:customStyle="1" w:styleId="TextodenotaderodapCarcter1">
    <w:name w:val="Texto de nota de rodapé Carácter1"/>
    <w:basedOn w:val="Tipodeletrapredefinidodopargrafo"/>
    <w:uiPriority w:val="99"/>
    <w:semiHidden/>
    <w:rsid w:val="004D0BDA"/>
    <w:rPr>
      <w:rFonts w:ascii="HelveticaNeueLT Std Lt" w:eastAsiaTheme="minorEastAsia" w:hAnsi="HelveticaNeueLT Std Lt"/>
      <w:sz w:val="20"/>
      <w:szCs w:val="20"/>
      <w:lang w:eastAsia="pt-PT"/>
    </w:rPr>
  </w:style>
  <w:style w:type="paragraph" w:styleId="Textodebalo">
    <w:name w:val="Balloon Text"/>
    <w:basedOn w:val="Normal"/>
    <w:link w:val="TextodebaloCarcter"/>
    <w:uiPriority w:val="99"/>
    <w:semiHidden/>
    <w:unhideWhenUsed/>
    <w:rsid w:val="004D0BDA"/>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D0BDA"/>
    <w:rPr>
      <w:rFonts w:ascii="Tahoma" w:eastAsiaTheme="minorEastAsia" w:hAnsi="Tahoma" w:cs="Tahoma"/>
      <w:sz w:val="16"/>
      <w:szCs w:val="16"/>
      <w:lang w:eastAsia="pt-PT"/>
    </w:rPr>
  </w:style>
  <w:style w:type="character" w:styleId="RefernciaDiscreta">
    <w:name w:val="Subtle Reference"/>
    <w:aliases w:val="Nota de Rodapé"/>
    <w:uiPriority w:val="31"/>
    <w:qFormat/>
    <w:rsid w:val="00FD4EDA"/>
    <w:rPr>
      <w:rFonts w:ascii="HelveticaNeueLT Std Lt" w:hAnsi="HelveticaNeueLT Std Lt"/>
      <w:sz w:val="16"/>
    </w:rPr>
  </w:style>
  <w:style w:type="paragraph" w:customStyle="1" w:styleId="Fontes">
    <w:name w:val="Fontes"/>
    <w:basedOn w:val="Normal"/>
    <w:link w:val="FontesChar"/>
    <w:qFormat/>
    <w:rsid w:val="00FD4EDA"/>
    <w:rPr>
      <w:sz w:val="18"/>
    </w:rPr>
  </w:style>
  <w:style w:type="character" w:customStyle="1" w:styleId="FontesChar">
    <w:name w:val="Fontes Char"/>
    <w:basedOn w:val="Tipodeletrapredefinidodopargrafo"/>
    <w:link w:val="Fontes"/>
    <w:rsid w:val="00FD4EDA"/>
    <w:rPr>
      <w:rFonts w:ascii="HelveticaNeueLT Std Lt" w:eastAsiaTheme="minorEastAsia" w:hAnsi="HelveticaNeueLT Std Lt"/>
      <w:sz w:val="18"/>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B:\Dropbox\Grupo%20T&#233;cnico%20-%20ABANC\Base%20de%20Dados%20ABANC\Relat&#243;rios\An&#225;lise%20do%20Activo%20Agregado%20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pivotSource>
    <c:name>[Análise do Activo Agregado 2013.xlsx]RANKINGS 2013!Tabela dinâmica2</c:name>
    <c:fmtId val="-1"/>
  </c:pivotSource>
  <c:chart>
    <c:autoTitleDeleted val="0"/>
    <c:pivotFmts>
      <c:pivotFmt>
        <c:idx val="0"/>
        <c:spPr>
          <a:solidFill>
            <a:srgbClr val="D9261A"/>
          </a:solidFill>
        </c:spPr>
        <c:marker>
          <c:symbol val="none"/>
        </c:marker>
      </c:pivotFmt>
      <c:pivotFmt>
        <c:idx val="1"/>
        <c:marker>
          <c:symbol val="none"/>
        </c:marker>
      </c:pivotFmt>
      <c:pivotFmt>
        <c:idx val="2"/>
      </c:pivotFmt>
      <c:pivotFmt>
        <c:idx val="3"/>
      </c:pivotFmt>
      <c:pivotFmt>
        <c:idx val="4"/>
        <c:spPr>
          <a:solidFill>
            <a:srgbClr val="FFC000"/>
          </a:solidFill>
        </c:spPr>
      </c:pivotFmt>
      <c:pivotFmt>
        <c:idx val="5"/>
        <c:spPr>
          <a:solidFill>
            <a:srgbClr val="FFC000"/>
          </a:solidFill>
        </c:spPr>
      </c:pivotFmt>
      <c:pivotFmt>
        <c:idx val="6"/>
        <c:spPr>
          <a:solidFill>
            <a:srgbClr val="FFC000"/>
          </a:solidFill>
        </c:spPr>
      </c:pivotFmt>
      <c:pivotFmt>
        <c:idx val="7"/>
        <c:spPr>
          <a:solidFill>
            <a:srgbClr val="FFC000"/>
          </a:solidFill>
        </c:spPr>
      </c:pivotFmt>
      <c:pivotFmt>
        <c:idx val="8"/>
        <c:spPr>
          <a:solidFill>
            <a:srgbClr val="FFC000"/>
          </a:solidFill>
        </c:spPr>
      </c:pivotFmt>
      <c:pivotFmt>
        <c:idx val="9"/>
        <c:spPr>
          <a:solidFill>
            <a:srgbClr val="FFC000"/>
          </a:solidFill>
        </c:spPr>
      </c:pivotFmt>
      <c:pivotFmt>
        <c:idx val="10"/>
        <c:spPr>
          <a:solidFill>
            <a:srgbClr val="FFC000"/>
          </a:solidFill>
        </c:spPr>
      </c:pivotFmt>
      <c:pivotFmt>
        <c:idx val="11"/>
        <c:spPr>
          <a:solidFill>
            <a:srgbClr val="FFC000"/>
          </a:solidFill>
        </c:spPr>
      </c:pivotFmt>
      <c:pivotFmt>
        <c:idx val="12"/>
        <c:spPr>
          <a:solidFill>
            <a:srgbClr val="002060"/>
          </a:solidFill>
        </c:spPr>
      </c:pivotFmt>
      <c:pivotFmt>
        <c:idx val="13"/>
        <c:spPr>
          <a:solidFill>
            <a:srgbClr val="002060"/>
          </a:solidFill>
        </c:spPr>
      </c:pivotFmt>
      <c:pivotFmt>
        <c:idx val="14"/>
        <c:spPr>
          <a:solidFill>
            <a:srgbClr val="002060"/>
          </a:solidFill>
        </c:spPr>
      </c:pivotFmt>
      <c:pivotFmt>
        <c:idx val="15"/>
        <c:spPr>
          <a:solidFill>
            <a:srgbClr val="002060"/>
          </a:solidFill>
        </c:spPr>
      </c:pivotFmt>
      <c:pivotFmt>
        <c:idx val="16"/>
        <c:spPr>
          <a:solidFill>
            <a:srgbClr val="002060"/>
          </a:solidFill>
        </c:spPr>
      </c:pivotFmt>
      <c:pivotFmt>
        <c:idx val="17"/>
        <c:spPr>
          <a:solidFill>
            <a:srgbClr val="002060"/>
          </a:solidFill>
        </c:spPr>
      </c:pivotFmt>
      <c:pivotFmt>
        <c:idx val="18"/>
        <c:spPr>
          <a:solidFill>
            <a:srgbClr val="FFC000"/>
          </a:solidFill>
        </c:spPr>
      </c:pivotFmt>
      <c:pivotFmt>
        <c:idx val="19"/>
        <c:spPr>
          <a:solidFill>
            <a:srgbClr val="002060"/>
          </a:solidFill>
        </c:spPr>
      </c:pivotFmt>
      <c:pivotFmt>
        <c:idx val="20"/>
        <c:spPr>
          <a:solidFill>
            <a:srgbClr val="D9261A"/>
          </a:solidFill>
        </c:spPr>
        <c:marker>
          <c:symbol val="none"/>
        </c:marker>
      </c:pivotFmt>
      <c:pivotFmt>
        <c:idx val="21"/>
        <c:spPr>
          <a:solidFill>
            <a:srgbClr val="FFC000"/>
          </a:solidFill>
        </c:spPr>
      </c:pivotFmt>
      <c:pivotFmt>
        <c:idx val="22"/>
        <c:spPr>
          <a:solidFill>
            <a:srgbClr val="FFC000"/>
          </a:solidFill>
        </c:spPr>
      </c:pivotFmt>
      <c:pivotFmt>
        <c:idx val="23"/>
        <c:spPr>
          <a:solidFill>
            <a:srgbClr val="FFC000"/>
          </a:solidFill>
        </c:spPr>
      </c:pivotFmt>
      <c:pivotFmt>
        <c:idx val="24"/>
        <c:spPr>
          <a:solidFill>
            <a:srgbClr val="FFC000"/>
          </a:solidFill>
        </c:spPr>
      </c:pivotFmt>
      <c:pivotFmt>
        <c:idx val="25"/>
        <c:spPr>
          <a:solidFill>
            <a:srgbClr val="FFC000"/>
          </a:solidFill>
        </c:spPr>
      </c:pivotFmt>
      <c:pivotFmt>
        <c:idx val="26"/>
        <c:spPr>
          <a:solidFill>
            <a:srgbClr val="FFC000"/>
          </a:solidFill>
        </c:spPr>
      </c:pivotFmt>
      <c:pivotFmt>
        <c:idx val="27"/>
        <c:spPr>
          <a:solidFill>
            <a:srgbClr val="FFC000"/>
          </a:solidFill>
        </c:spPr>
      </c:pivotFmt>
      <c:pivotFmt>
        <c:idx val="28"/>
        <c:spPr>
          <a:solidFill>
            <a:srgbClr val="FFC000"/>
          </a:solidFill>
        </c:spPr>
      </c:pivotFmt>
      <c:pivotFmt>
        <c:idx val="29"/>
        <c:spPr>
          <a:solidFill>
            <a:srgbClr val="FFC000"/>
          </a:solidFill>
        </c:spPr>
      </c:pivotFmt>
      <c:pivotFmt>
        <c:idx val="30"/>
        <c:spPr>
          <a:solidFill>
            <a:srgbClr val="002060"/>
          </a:solidFill>
        </c:spPr>
      </c:pivotFmt>
      <c:pivotFmt>
        <c:idx val="31"/>
        <c:spPr>
          <a:solidFill>
            <a:srgbClr val="002060"/>
          </a:solidFill>
        </c:spPr>
      </c:pivotFmt>
      <c:pivotFmt>
        <c:idx val="32"/>
        <c:spPr>
          <a:solidFill>
            <a:srgbClr val="002060"/>
          </a:solidFill>
        </c:spPr>
      </c:pivotFmt>
      <c:pivotFmt>
        <c:idx val="33"/>
        <c:spPr>
          <a:solidFill>
            <a:srgbClr val="002060"/>
          </a:solidFill>
        </c:spPr>
      </c:pivotFmt>
      <c:pivotFmt>
        <c:idx val="34"/>
        <c:spPr>
          <a:solidFill>
            <a:srgbClr val="002060"/>
          </a:solidFill>
        </c:spPr>
      </c:pivotFmt>
      <c:pivotFmt>
        <c:idx val="35"/>
        <c:spPr>
          <a:solidFill>
            <a:srgbClr val="002060"/>
          </a:solidFill>
        </c:spPr>
      </c:pivotFmt>
      <c:pivotFmt>
        <c:idx val="36"/>
        <c:spPr>
          <a:solidFill>
            <a:srgbClr val="002060"/>
          </a:solidFill>
        </c:spPr>
      </c:pivotFmt>
      <c:pivotFmt>
        <c:idx val="37"/>
        <c:marker>
          <c:symbol val="none"/>
        </c:marker>
      </c:pivotFmt>
      <c:pivotFmt>
        <c:idx val="38"/>
        <c:spPr>
          <a:solidFill>
            <a:srgbClr val="D9261A"/>
          </a:solidFill>
        </c:spPr>
        <c:marker>
          <c:symbol val="none"/>
        </c:marker>
      </c:pivotFmt>
      <c:pivotFmt>
        <c:idx val="39"/>
        <c:spPr>
          <a:solidFill>
            <a:srgbClr val="FFC000"/>
          </a:solidFill>
        </c:spPr>
      </c:pivotFmt>
      <c:pivotFmt>
        <c:idx val="40"/>
        <c:spPr>
          <a:solidFill>
            <a:srgbClr val="FFC000"/>
          </a:solidFill>
        </c:spPr>
      </c:pivotFmt>
      <c:pivotFmt>
        <c:idx val="41"/>
        <c:spPr>
          <a:solidFill>
            <a:srgbClr val="FFC000"/>
          </a:solidFill>
        </c:spPr>
      </c:pivotFmt>
      <c:pivotFmt>
        <c:idx val="42"/>
        <c:spPr>
          <a:solidFill>
            <a:srgbClr val="FFC000"/>
          </a:solidFill>
        </c:spPr>
      </c:pivotFmt>
      <c:pivotFmt>
        <c:idx val="43"/>
        <c:spPr>
          <a:solidFill>
            <a:srgbClr val="FFC000"/>
          </a:solidFill>
        </c:spPr>
      </c:pivotFmt>
      <c:pivotFmt>
        <c:idx val="44"/>
        <c:spPr>
          <a:solidFill>
            <a:srgbClr val="FFC000"/>
          </a:solidFill>
        </c:spPr>
      </c:pivotFmt>
      <c:pivotFmt>
        <c:idx val="45"/>
        <c:spPr>
          <a:solidFill>
            <a:srgbClr val="FFC000"/>
          </a:solidFill>
        </c:spPr>
      </c:pivotFmt>
      <c:pivotFmt>
        <c:idx val="46"/>
        <c:spPr>
          <a:solidFill>
            <a:srgbClr val="FFC000"/>
          </a:solidFill>
        </c:spPr>
      </c:pivotFmt>
      <c:pivotFmt>
        <c:idx val="47"/>
        <c:spPr>
          <a:solidFill>
            <a:srgbClr val="FFC000"/>
          </a:solidFill>
        </c:spPr>
      </c:pivotFmt>
      <c:pivotFmt>
        <c:idx val="48"/>
        <c:spPr>
          <a:solidFill>
            <a:srgbClr val="002060"/>
          </a:solidFill>
        </c:spPr>
      </c:pivotFmt>
      <c:pivotFmt>
        <c:idx val="49"/>
        <c:spPr>
          <a:solidFill>
            <a:srgbClr val="002060"/>
          </a:solidFill>
        </c:spPr>
      </c:pivotFmt>
      <c:pivotFmt>
        <c:idx val="50"/>
        <c:spPr>
          <a:solidFill>
            <a:srgbClr val="002060"/>
          </a:solidFill>
        </c:spPr>
      </c:pivotFmt>
      <c:pivotFmt>
        <c:idx val="51"/>
        <c:spPr>
          <a:solidFill>
            <a:srgbClr val="002060"/>
          </a:solidFill>
        </c:spPr>
      </c:pivotFmt>
      <c:pivotFmt>
        <c:idx val="52"/>
        <c:spPr>
          <a:solidFill>
            <a:srgbClr val="002060"/>
          </a:solidFill>
        </c:spPr>
      </c:pivotFmt>
      <c:pivotFmt>
        <c:idx val="53"/>
        <c:spPr>
          <a:solidFill>
            <a:srgbClr val="002060"/>
          </a:solidFill>
        </c:spPr>
      </c:pivotFmt>
      <c:pivotFmt>
        <c:idx val="54"/>
        <c:spPr>
          <a:solidFill>
            <a:srgbClr val="002060"/>
          </a:solidFill>
        </c:spPr>
      </c:pivotFmt>
      <c:pivotFmt>
        <c:idx val="55"/>
        <c:marker>
          <c:symbol val="none"/>
        </c:marker>
      </c:pivotFmt>
    </c:pivotFmts>
    <c:plotArea>
      <c:layout>
        <c:manualLayout>
          <c:layoutTarget val="inner"/>
          <c:xMode val="edge"/>
          <c:yMode val="edge"/>
          <c:x val="8.6015342783314228E-2"/>
          <c:y val="3.0511506772627147E-2"/>
          <c:w val="0.89608641372789111"/>
          <c:h val="0.82974925180031545"/>
        </c:manualLayout>
      </c:layout>
      <c:barChart>
        <c:barDir val="col"/>
        <c:grouping val="clustered"/>
        <c:varyColors val="0"/>
        <c:ser>
          <c:idx val="0"/>
          <c:order val="0"/>
          <c:tx>
            <c:strRef>
              <c:f>'RANKINGS 2013'!$C$163</c:f>
              <c:strCache>
                <c:ptCount val="1"/>
                <c:pt idx="0">
                  <c:v>Total de Activos</c:v>
                </c:pt>
              </c:strCache>
            </c:strRef>
          </c:tx>
          <c:spPr>
            <a:solidFill>
              <a:srgbClr val="D9261A"/>
            </a:solidFill>
          </c:spPr>
          <c:invertIfNegative val="0"/>
          <c:dPt>
            <c:idx val="5"/>
            <c:invertIfNegative val="0"/>
            <c:bubble3D val="0"/>
            <c:spPr>
              <a:solidFill>
                <a:srgbClr val="FFC000"/>
              </a:solidFill>
            </c:spPr>
          </c:dPt>
          <c:dPt>
            <c:idx val="6"/>
            <c:invertIfNegative val="0"/>
            <c:bubble3D val="0"/>
            <c:spPr>
              <a:solidFill>
                <a:srgbClr val="FFC000"/>
              </a:solidFill>
            </c:spPr>
          </c:dPt>
          <c:dPt>
            <c:idx val="7"/>
            <c:invertIfNegative val="0"/>
            <c:bubble3D val="0"/>
            <c:spPr>
              <a:solidFill>
                <a:srgbClr val="FFC000"/>
              </a:solidFill>
            </c:spPr>
          </c:dPt>
          <c:dPt>
            <c:idx val="8"/>
            <c:invertIfNegative val="0"/>
            <c:bubble3D val="0"/>
            <c:spPr>
              <a:solidFill>
                <a:srgbClr val="FFC000"/>
              </a:solidFill>
            </c:spPr>
          </c:dPt>
          <c:dPt>
            <c:idx val="9"/>
            <c:invertIfNegative val="0"/>
            <c:bubble3D val="0"/>
            <c:spPr>
              <a:solidFill>
                <a:srgbClr val="FFC000"/>
              </a:solidFill>
            </c:spPr>
          </c:dPt>
          <c:dPt>
            <c:idx val="10"/>
            <c:invertIfNegative val="0"/>
            <c:bubble3D val="0"/>
            <c:spPr>
              <a:solidFill>
                <a:srgbClr val="FFC000"/>
              </a:solidFill>
            </c:spPr>
          </c:dPt>
          <c:dPt>
            <c:idx val="11"/>
            <c:invertIfNegative val="0"/>
            <c:bubble3D val="0"/>
            <c:spPr>
              <a:solidFill>
                <a:srgbClr val="FFC000"/>
              </a:solidFill>
            </c:spPr>
          </c:dPt>
          <c:dPt>
            <c:idx val="12"/>
            <c:invertIfNegative val="0"/>
            <c:bubble3D val="0"/>
            <c:spPr>
              <a:solidFill>
                <a:srgbClr val="FFC000"/>
              </a:solidFill>
            </c:spPr>
          </c:dPt>
          <c:dPt>
            <c:idx val="13"/>
            <c:invertIfNegative val="0"/>
            <c:bubble3D val="0"/>
            <c:spPr>
              <a:solidFill>
                <a:srgbClr val="FFC000"/>
              </a:solidFill>
            </c:spPr>
          </c:dPt>
          <c:dPt>
            <c:idx val="14"/>
            <c:invertIfNegative val="0"/>
            <c:bubble3D val="0"/>
            <c:spPr>
              <a:solidFill>
                <a:srgbClr val="002060"/>
              </a:solidFill>
            </c:spPr>
          </c:dPt>
          <c:dPt>
            <c:idx val="15"/>
            <c:invertIfNegative val="0"/>
            <c:bubble3D val="0"/>
            <c:spPr>
              <a:solidFill>
                <a:srgbClr val="002060"/>
              </a:solidFill>
            </c:spPr>
          </c:dPt>
          <c:dPt>
            <c:idx val="16"/>
            <c:invertIfNegative val="0"/>
            <c:bubble3D val="0"/>
            <c:spPr>
              <a:solidFill>
                <a:srgbClr val="002060"/>
              </a:solidFill>
            </c:spPr>
          </c:dPt>
          <c:dPt>
            <c:idx val="17"/>
            <c:invertIfNegative val="0"/>
            <c:bubble3D val="0"/>
            <c:spPr>
              <a:solidFill>
                <a:srgbClr val="002060"/>
              </a:solidFill>
            </c:spPr>
          </c:dPt>
          <c:dPt>
            <c:idx val="18"/>
            <c:invertIfNegative val="0"/>
            <c:bubble3D val="0"/>
            <c:spPr>
              <a:solidFill>
                <a:srgbClr val="002060"/>
              </a:solidFill>
            </c:spPr>
          </c:dPt>
          <c:dPt>
            <c:idx val="19"/>
            <c:invertIfNegative val="0"/>
            <c:bubble3D val="0"/>
            <c:spPr>
              <a:solidFill>
                <a:srgbClr val="002060"/>
              </a:solidFill>
            </c:spPr>
          </c:dPt>
          <c:dPt>
            <c:idx val="20"/>
            <c:invertIfNegative val="0"/>
            <c:bubble3D val="0"/>
            <c:spPr>
              <a:solidFill>
                <a:srgbClr val="002060"/>
              </a:solidFill>
            </c:spPr>
          </c:dPt>
          <c:cat>
            <c:multiLvlStrRef>
              <c:f>'RANKINGS 2013'!$B$164:$B$188</c:f>
              <c:multiLvlStrCache>
                <c:ptCount val="21"/>
                <c:lvl>
                  <c:pt idx="0">
                    <c:v>BESA</c:v>
                  </c:pt>
                  <c:pt idx="1">
                    <c:v>BAI</c:v>
                  </c:pt>
                  <c:pt idx="2">
                    <c:v>BPC</c:v>
                  </c:pt>
                  <c:pt idx="3">
                    <c:v>BFA</c:v>
                  </c:pt>
                  <c:pt idx="4">
                    <c:v>BIC</c:v>
                  </c:pt>
                  <c:pt idx="5">
                    <c:v>BPA</c:v>
                  </c:pt>
                  <c:pt idx="6">
                    <c:v>BMA</c:v>
                  </c:pt>
                  <c:pt idx="7">
                    <c:v>BDA</c:v>
                  </c:pt>
                  <c:pt idx="8">
                    <c:v>SOL</c:v>
                  </c:pt>
                  <c:pt idx="9">
                    <c:v>BCGTA</c:v>
                  </c:pt>
                  <c:pt idx="10">
                    <c:v>BNI</c:v>
                  </c:pt>
                  <c:pt idx="11">
                    <c:v>SBA</c:v>
                  </c:pt>
                  <c:pt idx="12">
                    <c:v>BCI</c:v>
                  </c:pt>
                  <c:pt idx="13">
                    <c:v>BRK</c:v>
                  </c:pt>
                  <c:pt idx="14">
                    <c:v>FNB</c:v>
                  </c:pt>
                  <c:pt idx="15">
                    <c:v>BCA</c:v>
                  </c:pt>
                  <c:pt idx="16">
                    <c:v>BANC</c:v>
                  </c:pt>
                  <c:pt idx="17">
                    <c:v>BVB</c:v>
                  </c:pt>
                  <c:pt idx="18">
                    <c:v>VTB</c:v>
                  </c:pt>
                  <c:pt idx="19">
                    <c:v>BMF</c:v>
                  </c:pt>
                  <c:pt idx="20">
                    <c:v>BCH</c:v>
                  </c:pt>
                </c:lvl>
                <c:lvl>
                  <c:pt idx="0">
                    <c:v>Grande Dimensão</c:v>
                  </c:pt>
                  <c:pt idx="5">
                    <c:v>Média Dimensão</c:v>
                  </c:pt>
                  <c:pt idx="14">
                    <c:v>Pequena Dimensão</c:v>
                  </c:pt>
                </c:lvl>
              </c:multiLvlStrCache>
            </c:multiLvlStrRef>
          </c:cat>
          <c:val>
            <c:numRef>
              <c:f>'RANKINGS 2013'!$C$164:$C$188</c:f>
              <c:numCache>
                <c:formatCode>_-* #,##0\ _€_-;\-* #,##0\ _€_-;_-* "-"??\ _€_-;_-@_-</c:formatCode>
                <c:ptCount val="21"/>
                <c:pt idx="0">
                  <c:v>1107139</c:v>
                </c:pt>
                <c:pt idx="1">
                  <c:v>1039693</c:v>
                </c:pt>
                <c:pt idx="2">
                  <c:v>988181</c:v>
                </c:pt>
                <c:pt idx="3">
                  <c:v>868032</c:v>
                </c:pt>
                <c:pt idx="4">
                  <c:v>751324</c:v>
                </c:pt>
                <c:pt idx="5">
                  <c:v>357006</c:v>
                </c:pt>
                <c:pt idx="6">
                  <c:v>223483</c:v>
                </c:pt>
                <c:pt idx="7">
                  <c:v>221048</c:v>
                </c:pt>
                <c:pt idx="8">
                  <c:v>205840</c:v>
                </c:pt>
                <c:pt idx="9">
                  <c:v>183016</c:v>
                </c:pt>
                <c:pt idx="10">
                  <c:v>184176</c:v>
                </c:pt>
                <c:pt idx="11">
                  <c:v>148492</c:v>
                </c:pt>
                <c:pt idx="12">
                  <c:v>98897</c:v>
                </c:pt>
                <c:pt idx="13">
                  <c:v>98200</c:v>
                </c:pt>
                <c:pt idx="14">
                  <c:v>54603</c:v>
                </c:pt>
                <c:pt idx="15">
                  <c:v>30854</c:v>
                </c:pt>
                <c:pt idx="16">
                  <c:v>16362</c:v>
                </c:pt>
                <c:pt idx="17">
                  <c:v>15120</c:v>
                </c:pt>
                <c:pt idx="18">
                  <c:v>14358</c:v>
                </c:pt>
                <c:pt idx="19">
                  <c:v>10619</c:v>
                </c:pt>
                <c:pt idx="20">
                  <c:v>4058</c:v>
                </c:pt>
              </c:numCache>
            </c:numRef>
          </c:val>
        </c:ser>
        <c:ser>
          <c:idx val="1"/>
          <c:order val="1"/>
          <c:tx>
            <c:strRef>
              <c:f>'RANKINGS 2013'!$D$163</c:f>
              <c:strCache>
                <c:ptCount val="1"/>
                <c:pt idx="0">
                  <c:v>Quota </c:v>
                </c:pt>
              </c:strCache>
            </c:strRef>
          </c:tx>
          <c:invertIfNegative val="0"/>
          <c:cat>
            <c:multiLvlStrRef>
              <c:f>'RANKINGS 2013'!$B$164:$B$188</c:f>
              <c:multiLvlStrCache>
                <c:ptCount val="21"/>
                <c:lvl>
                  <c:pt idx="0">
                    <c:v>BESA</c:v>
                  </c:pt>
                  <c:pt idx="1">
                    <c:v>BAI</c:v>
                  </c:pt>
                  <c:pt idx="2">
                    <c:v>BPC</c:v>
                  </c:pt>
                  <c:pt idx="3">
                    <c:v>BFA</c:v>
                  </c:pt>
                  <c:pt idx="4">
                    <c:v>BIC</c:v>
                  </c:pt>
                  <c:pt idx="5">
                    <c:v>BPA</c:v>
                  </c:pt>
                  <c:pt idx="6">
                    <c:v>BMA</c:v>
                  </c:pt>
                  <c:pt idx="7">
                    <c:v>BDA</c:v>
                  </c:pt>
                  <c:pt idx="8">
                    <c:v>SOL</c:v>
                  </c:pt>
                  <c:pt idx="9">
                    <c:v>BCGTA</c:v>
                  </c:pt>
                  <c:pt idx="10">
                    <c:v>BNI</c:v>
                  </c:pt>
                  <c:pt idx="11">
                    <c:v>SBA</c:v>
                  </c:pt>
                  <c:pt idx="12">
                    <c:v>BCI</c:v>
                  </c:pt>
                  <c:pt idx="13">
                    <c:v>BRK</c:v>
                  </c:pt>
                  <c:pt idx="14">
                    <c:v>FNB</c:v>
                  </c:pt>
                  <c:pt idx="15">
                    <c:v>BCA</c:v>
                  </c:pt>
                  <c:pt idx="16">
                    <c:v>BANC</c:v>
                  </c:pt>
                  <c:pt idx="17">
                    <c:v>BVB</c:v>
                  </c:pt>
                  <c:pt idx="18">
                    <c:v>VTB</c:v>
                  </c:pt>
                  <c:pt idx="19">
                    <c:v>BMF</c:v>
                  </c:pt>
                  <c:pt idx="20">
                    <c:v>BCH</c:v>
                  </c:pt>
                </c:lvl>
                <c:lvl>
                  <c:pt idx="0">
                    <c:v>Grande Dimensão</c:v>
                  </c:pt>
                  <c:pt idx="5">
                    <c:v>Média Dimensão</c:v>
                  </c:pt>
                  <c:pt idx="14">
                    <c:v>Pequena Dimensão</c:v>
                  </c:pt>
                </c:lvl>
              </c:multiLvlStrCache>
            </c:multiLvlStrRef>
          </c:cat>
          <c:val>
            <c:numRef>
              <c:f>'RANKINGS 2013'!$D$164:$D$188</c:f>
              <c:numCache>
                <c:formatCode>0.0%</c:formatCode>
                <c:ptCount val="21"/>
                <c:pt idx="0">
                  <c:v>0.16722999999999999</c:v>
                </c:pt>
                <c:pt idx="1">
                  <c:v>0.15704000000000001</c:v>
                </c:pt>
                <c:pt idx="2">
                  <c:v>0.14926</c:v>
                </c:pt>
                <c:pt idx="3">
                  <c:v>0.13111</c:v>
                </c:pt>
                <c:pt idx="4">
                  <c:v>0.11348</c:v>
                </c:pt>
                <c:pt idx="5">
                  <c:v>5.3920000000000003E-2</c:v>
                </c:pt>
                <c:pt idx="6">
                  <c:v>3.3759999999999998E-2</c:v>
                </c:pt>
                <c:pt idx="7">
                  <c:v>3.3390000000000003E-2</c:v>
                </c:pt>
                <c:pt idx="8">
                  <c:v>3.109E-2</c:v>
                </c:pt>
                <c:pt idx="9">
                  <c:v>2.7640000000000001E-2</c:v>
                </c:pt>
                <c:pt idx="10">
                  <c:v>2.7820000000000001E-2</c:v>
                </c:pt>
                <c:pt idx="11">
                  <c:v>2.2429999999999999E-2</c:v>
                </c:pt>
                <c:pt idx="12">
                  <c:v>1.494E-2</c:v>
                </c:pt>
                <c:pt idx="13">
                  <c:v>1.4829999999999999E-2</c:v>
                </c:pt>
                <c:pt idx="14">
                  <c:v>8.2500000000000004E-3</c:v>
                </c:pt>
                <c:pt idx="15">
                  <c:v>4.6600000000000001E-3</c:v>
                </c:pt>
                <c:pt idx="16">
                  <c:v>2.47E-3</c:v>
                </c:pt>
                <c:pt idx="17">
                  <c:v>2.2799999999999999E-3</c:v>
                </c:pt>
                <c:pt idx="18">
                  <c:v>2.1700000000000001E-3</c:v>
                </c:pt>
                <c:pt idx="19">
                  <c:v>1.6000000000000001E-3</c:v>
                </c:pt>
                <c:pt idx="20">
                  <c:v>6.0999999999999997E-4</c:v>
                </c:pt>
              </c:numCache>
            </c:numRef>
          </c:val>
        </c:ser>
        <c:dLbls>
          <c:showLegendKey val="0"/>
          <c:showVal val="0"/>
          <c:showCatName val="0"/>
          <c:showSerName val="0"/>
          <c:showPercent val="0"/>
          <c:showBubbleSize val="0"/>
        </c:dLbls>
        <c:gapWidth val="150"/>
        <c:axId val="202222976"/>
        <c:axId val="202224768"/>
      </c:barChart>
      <c:catAx>
        <c:axId val="202222976"/>
        <c:scaling>
          <c:orientation val="minMax"/>
        </c:scaling>
        <c:delete val="0"/>
        <c:axPos val="b"/>
        <c:majorTickMark val="out"/>
        <c:minorTickMark val="none"/>
        <c:tickLblPos val="nextTo"/>
        <c:crossAx val="202224768"/>
        <c:crosses val="autoZero"/>
        <c:auto val="1"/>
        <c:lblAlgn val="ctr"/>
        <c:lblOffset val="100"/>
        <c:noMultiLvlLbl val="0"/>
      </c:catAx>
      <c:valAx>
        <c:axId val="202224768"/>
        <c:scaling>
          <c:orientation val="minMax"/>
        </c:scaling>
        <c:delete val="0"/>
        <c:axPos val="l"/>
        <c:numFmt formatCode="#,##0" sourceLinked="0"/>
        <c:majorTickMark val="out"/>
        <c:minorTickMark val="none"/>
        <c:tickLblPos val="nextTo"/>
        <c:crossAx val="202222976"/>
        <c:crosses val="autoZero"/>
        <c:crossBetween val="between"/>
      </c:valAx>
    </c:plotArea>
    <c:plotVisOnly val="1"/>
    <c:dispBlanksAs val="gap"/>
    <c:showDLblsOverMax val="0"/>
  </c:chart>
  <c:spPr>
    <a:ln>
      <a:noFill/>
    </a:ln>
  </c:spPr>
  <c:txPr>
    <a:bodyPr/>
    <a:lstStyle/>
    <a:p>
      <a:pPr>
        <a:defRPr>
          <a:latin typeface="HelveticaNeueLT Std Lt" pitchFamily="34" charset="0"/>
        </a:defRPr>
      </a:pPr>
      <a:endParaRPr lang="pt-PT"/>
    </a:p>
  </c:txPr>
  <c:externalData r:id="rId1">
    <c:autoUpdate val="0"/>
  </c:externalData>
  <c:userShapes r:id="rId2"/>
  <c:extLst>
    <c:ext xmlns:c14="http://schemas.microsoft.com/office/drawing/2007/8/2/chart" uri="{781A3756-C4B2-4CAC-9D66-4F8BD8637D16}">
      <c14:pivotOptions>
        <c14:dropZoneFilter val="1"/>
        <c14:dropZoneCategories val="1"/>
        <c14:dropZoneData val="1"/>
        <c14:dropZonesVisible val="1"/>
      </c14:pivotOptions>
    </c:ext>
  </c:extLst>
</c:chartSpace>
</file>

<file path=word/drawings/drawing1.xml><?xml version="1.0" encoding="utf-8"?>
<c:userShapes xmlns:c="http://schemas.openxmlformats.org/drawingml/2006/chart">
  <cdr:relSizeAnchor xmlns:cdr="http://schemas.openxmlformats.org/drawingml/2006/chartDrawing">
    <cdr:from>
      <cdr:x>0.43338</cdr:x>
      <cdr:y>0.58965</cdr:y>
    </cdr:from>
    <cdr:to>
      <cdr:x>0.80854</cdr:x>
      <cdr:y>0.64746</cdr:y>
    </cdr:to>
    <cdr:sp macro="" textlink="">
      <cdr:nvSpPr>
        <cdr:cNvPr id="2" name="Caixa de texto 1"/>
        <cdr:cNvSpPr txBox="1"/>
      </cdr:nvSpPr>
      <cdr:spPr>
        <a:xfrm xmlns:a="http://schemas.openxmlformats.org/drawingml/2006/main">
          <a:off x="3978234" y="2422566"/>
          <a:ext cx="3443844" cy="2375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PT" sz="1000">
              <a:latin typeface="HelveticaNeueLT Std Lt" pitchFamily="34" charset="0"/>
            </a:rPr>
            <a:t>Média</a:t>
          </a:r>
          <a:r>
            <a:rPr lang="pt-PT" sz="1000" baseline="0">
              <a:latin typeface="HelveticaNeueLT Std Lt" pitchFamily="34" charset="0"/>
            </a:rPr>
            <a:t> = 315.262 Milhões  de AKZ</a:t>
          </a:r>
          <a:endParaRPr lang="pt-PT" sz="1000">
            <a:latin typeface="HelveticaNeueLT Std Lt" pitchFamily="34" charset="0"/>
          </a:endParaRPr>
        </a:p>
      </cdr:txBody>
    </cdr:sp>
  </cdr:relSizeAnchor>
</c:userShape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USD10</b:Tag>
    <b:SourceType>Report</b:SourceType>
    <b:Guid>{4FAD9171-47D9-4891-807A-5BE57AA0544C}</b:Guid>
    <b:Title>Horizontal Merger Guidelines</b:Title>
    <b:Year>2010</b:Year>
    <b:City>Estados Unidos da América</b:City>
    <b:Publisher>Departmento da Justiça</b:Publisher>
    <b:LCID>pt-PT</b:LCID>
    <b:Author>
      <b:Author>
        <b:Corporate>Departmento de Justiça dos E.U.A.; Comissão Federal do Comércio dos E.U.A.</b:Corporate>
      </b:Author>
    </b:Author>
    <b:RefOrder>2</b:RefOrder>
  </b:Source>
</b:Sources>
</file>

<file path=customXml/itemProps1.xml><?xml version="1.0" encoding="utf-8"?>
<ds:datastoreItem xmlns:ds="http://schemas.openxmlformats.org/officeDocument/2006/customXml" ds:itemID="{44395AA5-C1E4-4735-9AFC-3BC2DB8BA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2611</Words>
  <Characters>14104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Niria Oramalu</dc:creator>
  <cp:lastModifiedBy>Niria Oramalu</cp:lastModifiedBy>
  <cp:revision>3</cp:revision>
  <dcterms:created xsi:type="dcterms:W3CDTF">2014-11-24T09:20:00Z</dcterms:created>
  <dcterms:modified xsi:type="dcterms:W3CDTF">2014-11-24T10:20:00Z</dcterms:modified>
</cp:coreProperties>
</file>