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DA" w:rsidRPr="007D7E9C" w:rsidRDefault="004D0BDA" w:rsidP="004D0BDA">
      <w:pPr>
        <w:pStyle w:val="Cabealho1"/>
        <w:spacing w:before="0"/>
        <w:jc w:val="left"/>
        <w:rPr>
          <w:sz w:val="36"/>
          <w:lang w:val="en-US"/>
        </w:rPr>
      </w:pPr>
      <w:bookmarkStart w:id="0" w:name="_Ref355258662"/>
      <w:bookmarkStart w:id="1" w:name="_Ref355258726"/>
      <w:bookmarkStart w:id="2" w:name="_Toc357409344"/>
      <w:bookmarkStart w:id="3" w:name="_Toc401576545"/>
      <w:proofErr w:type="spellStart"/>
      <w:r w:rsidRPr="007D7E9C">
        <w:rPr>
          <w:sz w:val="36"/>
          <w:lang w:val="en-US"/>
        </w:rPr>
        <w:t>Metodologia</w:t>
      </w:r>
      <w:bookmarkEnd w:id="0"/>
      <w:bookmarkEnd w:id="1"/>
      <w:bookmarkEnd w:id="2"/>
      <w:bookmarkEnd w:id="3"/>
      <w:proofErr w:type="spellEnd"/>
    </w:p>
    <w:p w:rsidR="004D0BDA" w:rsidRPr="007D7E9C" w:rsidRDefault="004D0BDA" w:rsidP="004D0BDA">
      <w:pPr>
        <w:rPr>
          <w:sz w:val="16"/>
          <w:lang w:val="en-US"/>
        </w:rPr>
      </w:pPr>
      <w:bookmarkStart w:id="4" w:name="_Toc357409345"/>
    </w:p>
    <w:bookmarkEnd w:id="4"/>
    <w:p w:rsidR="004D0BDA" w:rsidRPr="007D7E9C" w:rsidRDefault="00555582" w:rsidP="004D0BDA">
      <w:pPr>
        <w:pStyle w:val="Cabealho2"/>
        <w:ind w:left="720"/>
        <w:rPr>
          <w:lang w:val="en-US"/>
        </w:rPr>
      </w:pPr>
      <w:r w:rsidRPr="007D7E9C">
        <w:rPr>
          <w:lang w:val="en-US"/>
        </w:rPr>
        <w:t>Methodological Framework</w:t>
      </w:r>
    </w:p>
    <w:p w:rsidR="004D0BDA" w:rsidRPr="007D7E9C" w:rsidRDefault="004D0BDA" w:rsidP="004D0BDA">
      <w:pPr>
        <w:rPr>
          <w:color w:val="FF0000"/>
          <w:sz w:val="12"/>
          <w:lang w:val="en-US"/>
        </w:rPr>
      </w:pPr>
    </w:p>
    <w:p w:rsidR="004D0BDA" w:rsidRPr="00555582" w:rsidRDefault="00555582" w:rsidP="004D0BDA">
      <w:pPr>
        <w:ind w:firstLine="720"/>
        <w:rPr>
          <w:lang w:val="en-US"/>
        </w:rPr>
      </w:pPr>
      <w:r w:rsidRPr="00555582">
        <w:rPr>
          <w:lang w:val="en-US"/>
        </w:rPr>
        <w:t>The</w:t>
      </w:r>
      <w:r w:rsidR="004D0BDA" w:rsidRPr="00555582">
        <w:rPr>
          <w:lang w:val="en-US"/>
        </w:rPr>
        <w:t xml:space="preserve"> informa</w:t>
      </w:r>
      <w:r w:rsidRPr="00555582">
        <w:rPr>
          <w:lang w:val="en-US"/>
        </w:rPr>
        <w:t xml:space="preserve">tion published on the </w:t>
      </w:r>
      <w:r w:rsidR="00FD4EDA" w:rsidRPr="00555582">
        <w:rPr>
          <w:lang w:val="en-US"/>
        </w:rPr>
        <w:t>institu</w:t>
      </w:r>
      <w:r w:rsidRPr="00555582">
        <w:rPr>
          <w:lang w:val="en-US"/>
        </w:rPr>
        <w:t>tio</w:t>
      </w:r>
      <w:r w:rsidR="00FD4EDA" w:rsidRPr="00555582">
        <w:rPr>
          <w:lang w:val="en-US"/>
        </w:rPr>
        <w:t xml:space="preserve">nal </w:t>
      </w:r>
      <w:r w:rsidRPr="00555582">
        <w:rPr>
          <w:lang w:val="en-US"/>
        </w:rPr>
        <w:t xml:space="preserve">site of </w:t>
      </w:r>
      <w:proofErr w:type="spellStart"/>
      <w:r w:rsidRPr="00555582">
        <w:rPr>
          <w:lang w:val="en-US"/>
        </w:rPr>
        <w:t>As</w:t>
      </w:r>
      <w:r w:rsidR="004D0BDA" w:rsidRPr="00555582">
        <w:rPr>
          <w:lang w:val="en-US"/>
        </w:rPr>
        <w:t>sociação</w:t>
      </w:r>
      <w:proofErr w:type="spellEnd"/>
      <w:r w:rsidR="004D0BDA" w:rsidRPr="00555582">
        <w:rPr>
          <w:lang w:val="en-US"/>
        </w:rPr>
        <w:t xml:space="preserve"> </w:t>
      </w:r>
      <w:proofErr w:type="spellStart"/>
      <w:r w:rsidR="004D0BDA" w:rsidRPr="00555582">
        <w:rPr>
          <w:lang w:val="en-US"/>
        </w:rPr>
        <w:t>Angolana</w:t>
      </w:r>
      <w:proofErr w:type="spellEnd"/>
      <w:r w:rsidR="004D0BDA" w:rsidRPr="00555582">
        <w:rPr>
          <w:lang w:val="en-US"/>
        </w:rPr>
        <w:t xml:space="preserve"> de </w:t>
      </w:r>
      <w:proofErr w:type="spellStart"/>
      <w:r w:rsidR="004D0BDA" w:rsidRPr="00555582">
        <w:rPr>
          <w:lang w:val="en-US"/>
        </w:rPr>
        <w:t>Bancos</w:t>
      </w:r>
      <w:proofErr w:type="spellEnd"/>
      <w:r w:rsidR="004D0BDA" w:rsidRPr="00555582">
        <w:rPr>
          <w:lang w:val="en-US"/>
        </w:rPr>
        <w:t xml:space="preserve"> (ABANC</w:t>
      </w:r>
      <w:r w:rsidRPr="00555582">
        <w:rPr>
          <w:lang w:val="en-US"/>
        </w:rPr>
        <w:t xml:space="preserve"> – Angolan Banks Association</w:t>
      </w:r>
      <w:r w:rsidR="004D0BDA" w:rsidRPr="00555582">
        <w:rPr>
          <w:lang w:val="en-US"/>
        </w:rPr>
        <w:t xml:space="preserve">) </w:t>
      </w:r>
      <w:r w:rsidRPr="00555582">
        <w:rPr>
          <w:lang w:val="en-US"/>
        </w:rPr>
        <w:t>on the banking sector has an annual basis, with reference d</w:t>
      </w:r>
      <w:r>
        <w:rPr>
          <w:lang w:val="en-US"/>
        </w:rPr>
        <w:t>ates to December 31 of each year.</w:t>
      </w:r>
    </w:p>
    <w:p w:rsidR="004D0BDA" w:rsidRPr="000B407E" w:rsidRDefault="00555582" w:rsidP="004D0BDA">
      <w:pPr>
        <w:ind w:firstLine="720"/>
        <w:rPr>
          <w:lang w:val="en-US"/>
        </w:rPr>
      </w:pPr>
      <w:r w:rsidRPr="000B407E">
        <w:rPr>
          <w:lang w:val="en-US"/>
        </w:rPr>
        <w:t xml:space="preserve">The information contained in the section </w:t>
      </w:r>
      <w:r w:rsidR="00295F3D" w:rsidRPr="000B407E">
        <w:rPr>
          <w:lang w:val="en-US"/>
        </w:rPr>
        <w:t>“</w:t>
      </w:r>
      <w:r w:rsidRPr="000B407E">
        <w:rPr>
          <w:lang w:val="en-US"/>
        </w:rPr>
        <w:t>Studies and Statistics</w:t>
      </w:r>
      <w:r w:rsidR="00295F3D" w:rsidRPr="000B407E">
        <w:rPr>
          <w:lang w:val="en-US"/>
        </w:rPr>
        <w:t xml:space="preserve">” </w:t>
      </w:r>
      <w:r w:rsidRPr="000B407E">
        <w:rPr>
          <w:lang w:val="en-US"/>
        </w:rPr>
        <w:t xml:space="preserve">of this site allows comparison </w:t>
      </w:r>
      <w:r w:rsidR="000B407E" w:rsidRPr="000B407E">
        <w:rPr>
          <w:lang w:val="en-US"/>
        </w:rPr>
        <w:t>by time series of the performance of the bank oper</w:t>
      </w:r>
      <w:r w:rsidR="000B407E">
        <w:rPr>
          <w:lang w:val="en-US"/>
        </w:rPr>
        <w:t>ations and an ec</w:t>
      </w:r>
      <w:r w:rsidR="004D0BDA" w:rsidRPr="000B407E">
        <w:rPr>
          <w:lang w:val="en-US"/>
        </w:rPr>
        <w:t>on</w:t>
      </w:r>
      <w:r w:rsidR="000B407E">
        <w:rPr>
          <w:lang w:val="en-US"/>
        </w:rPr>
        <w:t>omical and financial analysis of the sector, in global terms, with the objective of improving the knowledge of the banking activity.</w:t>
      </w:r>
    </w:p>
    <w:p w:rsidR="004D0BDA" w:rsidRPr="00CB5CB4" w:rsidRDefault="00CB5CB4" w:rsidP="004D0BDA">
      <w:pPr>
        <w:ind w:firstLine="720"/>
        <w:rPr>
          <w:lang w:val="en-US"/>
        </w:rPr>
      </w:pPr>
      <w:r w:rsidRPr="00CB5CB4">
        <w:rPr>
          <w:lang w:val="en-US"/>
        </w:rPr>
        <w:t xml:space="preserve">The information on this site was collected by </w:t>
      </w:r>
      <w:r w:rsidR="004D0BDA" w:rsidRPr="00CB5CB4">
        <w:rPr>
          <w:lang w:val="en-US"/>
        </w:rPr>
        <w:t xml:space="preserve">ABANC </w:t>
      </w:r>
      <w:r w:rsidRPr="00CB5CB4">
        <w:rPr>
          <w:lang w:val="en-US"/>
        </w:rPr>
        <w:t xml:space="preserve">directly </w:t>
      </w:r>
      <w:r>
        <w:rPr>
          <w:lang w:val="en-US"/>
        </w:rPr>
        <w:t>from the financial institutions, the BNA and other relevant sources</w:t>
      </w:r>
      <w:r w:rsidR="004D0BDA" w:rsidRPr="00CB5CB4">
        <w:rPr>
          <w:lang w:val="en-US"/>
        </w:rPr>
        <w:t xml:space="preserve">. </w:t>
      </w:r>
      <w:r w:rsidRPr="00CB5CB4">
        <w:rPr>
          <w:lang w:val="en-US"/>
        </w:rPr>
        <w:t>The priority when developing this section of statistics is to use off</w:t>
      </w:r>
      <w:r>
        <w:rPr>
          <w:lang w:val="en-US"/>
        </w:rPr>
        <w:t>icial sources to publish reliable information on developments in the sector, in its various aspects.</w:t>
      </w:r>
      <w:r w:rsidR="004D0BDA" w:rsidRPr="00CB5CB4">
        <w:rPr>
          <w:lang w:val="en-US"/>
        </w:rPr>
        <w:t xml:space="preserve"> </w:t>
      </w:r>
    </w:p>
    <w:p w:rsidR="004D0BDA" w:rsidRPr="00BF1D78" w:rsidRDefault="00CB5CB4" w:rsidP="004D0BDA">
      <w:pPr>
        <w:ind w:firstLine="720"/>
        <w:rPr>
          <w:lang w:val="en-US"/>
        </w:rPr>
      </w:pPr>
      <w:r w:rsidRPr="00CB5CB4">
        <w:rPr>
          <w:lang w:val="en-US"/>
        </w:rPr>
        <w:t xml:space="preserve">The data entered in the ABANC’s database, maintaining keeping whenever possible, </w:t>
      </w:r>
      <w:proofErr w:type="gramStart"/>
      <w:r w:rsidRPr="00CB5CB4">
        <w:rPr>
          <w:lang w:val="en-US"/>
        </w:rPr>
        <w:t>the</w:t>
      </w:r>
      <w:proofErr w:type="gramEnd"/>
      <w:r w:rsidRPr="00CB5CB4">
        <w:rPr>
          <w:lang w:val="en-US"/>
        </w:rPr>
        <w:t xml:space="preserve"> </w:t>
      </w:r>
      <w:r>
        <w:rPr>
          <w:lang w:val="en-US"/>
        </w:rPr>
        <w:t xml:space="preserve">similarity with the original source. </w:t>
      </w:r>
      <w:r w:rsidRPr="00BF1D78">
        <w:rPr>
          <w:lang w:val="en-US"/>
        </w:rPr>
        <w:t xml:space="preserve">These values </w:t>
      </w:r>
      <w:r w:rsidR="004D0BDA" w:rsidRPr="00BF1D78">
        <w:rPr>
          <w:lang w:val="en-US"/>
        </w:rPr>
        <w:t>correspond</w:t>
      </w:r>
      <w:r w:rsidRPr="00BF1D78">
        <w:rPr>
          <w:lang w:val="en-US"/>
        </w:rPr>
        <w:t xml:space="preserve"> to the best value</w:t>
      </w:r>
      <w:r w:rsidR="00BF1D78" w:rsidRPr="00BF1D78">
        <w:rPr>
          <w:lang w:val="en-US"/>
        </w:rPr>
        <w:t xml:space="preserve"> obtained for each period, wher</w:t>
      </w:r>
      <w:r w:rsidR="00BF1D78">
        <w:rPr>
          <w:lang w:val="en-US"/>
        </w:rPr>
        <w:t>e all data has been carefully compiled and verified.</w:t>
      </w:r>
    </w:p>
    <w:p w:rsidR="004D0BDA" w:rsidRPr="00BF1D78" w:rsidRDefault="00BF1D78" w:rsidP="004D0BDA">
      <w:pPr>
        <w:ind w:firstLine="720"/>
        <w:rPr>
          <w:lang w:val="en-US"/>
        </w:rPr>
      </w:pPr>
      <w:r w:rsidRPr="00BF1D78">
        <w:rPr>
          <w:lang w:val="en-US"/>
        </w:rPr>
        <w:t>It should be noted that the aggregated balance sheet o</w:t>
      </w:r>
      <w:r>
        <w:rPr>
          <w:lang w:val="en-US"/>
        </w:rPr>
        <w:t>f the commercial banks presented here results from the simple sum of their individual balance sheets.</w:t>
      </w:r>
    </w:p>
    <w:p w:rsidR="00FD4EDA" w:rsidRPr="00BF1D78" w:rsidRDefault="00BF1D78" w:rsidP="00FD4EDA">
      <w:pPr>
        <w:ind w:firstLine="720"/>
        <w:rPr>
          <w:lang w:val="en-US"/>
        </w:rPr>
      </w:pPr>
      <w:bookmarkStart w:id="5" w:name="_Toc357409346"/>
      <w:bookmarkStart w:id="6" w:name="_Toc401576547"/>
      <w:r w:rsidRPr="00BF1D78">
        <w:rPr>
          <w:lang w:val="en-US"/>
        </w:rPr>
        <w:t>In the aggregated analysis by size, the focus in centered on the financial institutions in activity for e</w:t>
      </w:r>
      <w:r>
        <w:rPr>
          <w:lang w:val="en-US"/>
        </w:rPr>
        <w:t>ach period, which are grouped according to their market share of assets</w:t>
      </w:r>
      <w:r w:rsidR="00FD4EDA">
        <w:rPr>
          <w:rStyle w:val="Refdenotaderodap"/>
        </w:rPr>
        <w:footnoteReference w:id="1"/>
      </w:r>
      <w:r w:rsidR="00FD4EDA" w:rsidRPr="00BF1D78">
        <w:rPr>
          <w:lang w:val="en-US"/>
        </w:rPr>
        <w:t xml:space="preserve">. </w:t>
      </w:r>
      <w:r w:rsidRPr="00BF1D78">
        <w:rPr>
          <w:lang w:val="en-US"/>
        </w:rPr>
        <w:t>To ensure comparability of data and best evolutionary analysis in the period, the segments have the same constitution for all years in the analyzed period, i.e., the grouping of inst</w:t>
      </w:r>
      <w:r>
        <w:rPr>
          <w:lang w:val="en-US"/>
        </w:rPr>
        <w:t>itutions on various size segments for the period 2009-2013 was made according to the distribution of assets in 2013, so that the constitution of the segments were uniform for the entire period.</w:t>
      </w:r>
    </w:p>
    <w:p w:rsidR="00FD4EDA" w:rsidRPr="00BF1D78" w:rsidRDefault="00BF1D78" w:rsidP="00FD4EDA">
      <w:pPr>
        <w:ind w:firstLine="720"/>
        <w:rPr>
          <w:lang w:val="en-US"/>
        </w:rPr>
      </w:pPr>
      <w:r w:rsidRPr="00BF1D78">
        <w:rPr>
          <w:lang w:val="en-US"/>
        </w:rPr>
        <w:t>The Chart</w:t>
      </w:r>
      <w:r w:rsidR="00FD4EDA" w:rsidRPr="00BF1D78">
        <w:rPr>
          <w:lang w:val="en-US"/>
        </w:rPr>
        <w:t xml:space="preserve"> 1 </w:t>
      </w:r>
      <w:r w:rsidRPr="00BF1D78">
        <w:rPr>
          <w:lang w:val="en-US"/>
        </w:rPr>
        <w:t xml:space="preserve">shows the distribution of asset by size of financial institution in 2013, when </w:t>
      </w:r>
      <w:r>
        <w:rPr>
          <w:lang w:val="en-US"/>
        </w:rPr>
        <w:t xml:space="preserve">only six institutions have an asset higher than the average of </w:t>
      </w:r>
      <w:r w:rsidR="00FD4EDA" w:rsidRPr="00BF1D78">
        <w:rPr>
          <w:lang w:val="en-US"/>
        </w:rPr>
        <w:t xml:space="preserve">315 </w:t>
      </w:r>
      <w:r>
        <w:rPr>
          <w:lang w:val="en-US"/>
        </w:rPr>
        <w:t xml:space="preserve">billion </w:t>
      </w:r>
      <w:r w:rsidR="00FD4EDA" w:rsidRPr="00BF1D78">
        <w:rPr>
          <w:lang w:val="en-US"/>
        </w:rPr>
        <w:t xml:space="preserve">Kwanzas </w:t>
      </w:r>
      <w:r>
        <w:rPr>
          <w:lang w:val="en-US"/>
        </w:rPr>
        <w:t>in</w:t>
      </w:r>
      <w:r w:rsidR="00FD4EDA" w:rsidRPr="00BF1D78">
        <w:rPr>
          <w:lang w:val="en-US"/>
        </w:rPr>
        <w:t xml:space="preserve"> 2013.</w:t>
      </w:r>
    </w:p>
    <w:p w:rsidR="00FD4EDA" w:rsidRPr="00BF1D78" w:rsidRDefault="00FD4EDA" w:rsidP="00FD4EDA">
      <w:pPr>
        <w:ind w:firstLine="720"/>
        <w:rPr>
          <w:lang w:val="en-US"/>
        </w:rPr>
        <w:sectPr w:rsidR="00FD4EDA" w:rsidRPr="00BF1D78" w:rsidSect="00545827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:rsidR="00FD4EDA" w:rsidRPr="000F7638" w:rsidRDefault="00FD4EDA" w:rsidP="00FD4EDA">
      <w:pPr>
        <w:pStyle w:val="Legenda"/>
        <w:rPr>
          <w:lang w:val="en-US"/>
        </w:rPr>
      </w:pPr>
      <w:bookmarkStart w:id="7" w:name="_Ref355263844"/>
      <w:bookmarkStart w:id="8" w:name="_Ref355263789"/>
      <w:bookmarkStart w:id="9" w:name="_Ref355263840"/>
      <w:bookmarkStart w:id="10" w:name="_Toc357408819"/>
      <w:bookmarkStart w:id="11" w:name="_Toc401576614"/>
      <w:r w:rsidRPr="000F7638">
        <w:rPr>
          <w:lang w:val="en-US"/>
        </w:rPr>
        <w:lastRenderedPageBreak/>
        <w:t>Gr</w:t>
      </w:r>
      <w:r w:rsidR="000F7638" w:rsidRPr="000F7638">
        <w:rPr>
          <w:lang w:val="en-US"/>
        </w:rPr>
        <w:t>aphic</w:t>
      </w:r>
      <w:r w:rsidRPr="000F7638">
        <w:rPr>
          <w:lang w:val="en-US"/>
        </w:rPr>
        <w:t xml:space="preserve"> </w:t>
      </w:r>
      <w:r>
        <w:fldChar w:fldCharType="begin"/>
      </w:r>
      <w:r w:rsidRPr="000F7638">
        <w:rPr>
          <w:lang w:val="en-US"/>
        </w:rPr>
        <w:instrText xml:space="preserve"> SEQ Gráfico \* ARABIC </w:instrText>
      </w:r>
      <w:r>
        <w:fldChar w:fldCharType="separate"/>
      </w:r>
      <w:r w:rsidRPr="000F7638">
        <w:rPr>
          <w:lang w:val="en-US"/>
        </w:rPr>
        <w:t>1</w:t>
      </w:r>
      <w:r>
        <w:fldChar w:fldCharType="end"/>
      </w:r>
      <w:bookmarkEnd w:id="7"/>
      <w:r w:rsidRPr="000F7638">
        <w:rPr>
          <w:lang w:val="en-US"/>
        </w:rPr>
        <w:t xml:space="preserve"> – Distribu</w:t>
      </w:r>
      <w:r w:rsidR="000F7638" w:rsidRPr="000F7638">
        <w:rPr>
          <w:lang w:val="en-US"/>
        </w:rPr>
        <w:t>tion</w:t>
      </w:r>
      <w:r w:rsidRPr="000F7638">
        <w:rPr>
          <w:lang w:val="en-US"/>
        </w:rPr>
        <w:t xml:space="preserve"> </w:t>
      </w:r>
      <w:r w:rsidR="000F7638" w:rsidRPr="000F7638">
        <w:rPr>
          <w:lang w:val="en-US"/>
        </w:rPr>
        <w:t>pf Assets by Size of Finan</w:t>
      </w:r>
      <w:r w:rsidR="000F7638">
        <w:rPr>
          <w:lang w:val="en-US"/>
        </w:rPr>
        <w:t>cial Institutions in 20</w:t>
      </w:r>
      <w:r w:rsidRPr="000F7638">
        <w:rPr>
          <w:lang w:val="en-US"/>
        </w:rPr>
        <w:t>13</w:t>
      </w:r>
      <w:r w:rsidRPr="005152C4">
        <w:rPr>
          <w:rStyle w:val="Refdenotaderodap"/>
        </w:rPr>
        <w:footnoteReference w:id="2"/>
      </w:r>
      <w:bookmarkEnd w:id="8"/>
      <w:bookmarkEnd w:id="9"/>
      <w:bookmarkEnd w:id="10"/>
      <w:bookmarkEnd w:id="11"/>
    </w:p>
    <w:p w:rsidR="00FD4EDA" w:rsidRDefault="00FD4EDA" w:rsidP="00FD4EDA">
      <w:pPr>
        <w:rPr>
          <w:rStyle w:val="FontesChar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3364C" wp14:editId="0046E964">
                <wp:simplePos x="0" y="0"/>
                <wp:positionH relativeFrom="column">
                  <wp:posOffset>795020</wp:posOffset>
                </wp:positionH>
                <wp:positionV relativeFrom="paragraph">
                  <wp:posOffset>2657797</wp:posOffset>
                </wp:positionV>
                <wp:extent cx="8244000" cy="0"/>
                <wp:effectExtent l="0" t="0" r="0" b="19050"/>
                <wp:wrapNone/>
                <wp:docPr id="274" name="Conexão recta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xão recta 27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6pt,209.3pt" to="711.75pt,2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" strokecolor="#0d0d0d [3069]">
                <v:stroke dashstyle="dash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3B744478" wp14:editId="767390B3">
            <wp:extent cx="9179626" cy="4108863"/>
            <wp:effectExtent l="0" t="0" r="2540" b="635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4EDA" w:rsidRPr="005152C4" w:rsidRDefault="007E336C" w:rsidP="00FD4EDA">
      <w:proofErr w:type="spellStart"/>
      <w:r>
        <w:rPr>
          <w:rStyle w:val="FontesChar"/>
        </w:rPr>
        <w:t>Source</w:t>
      </w:r>
      <w:proofErr w:type="spellEnd"/>
      <w:r>
        <w:rPr>
          <w:rStyle w:val="FontesChar"/>
        </w:rPr>
        <w:t>:</w:t>
      </w:r>
      <w:r w:rsidR="00FD4EDA" w:rsidRPr="00FC6290">
        <w:rPr>
          <w:rStyle w:val="FontesChar"/>
        </w:rPr>
        <w:t xml:space="preserve"> </w:t>
      </w:r>
      <w:proofErr w:type="spellStart"/>
      <w:r w:rsidR="00FD4EDA">
        <w:rPr>
          <w:rStyle w:val="FontesChar"/>
        </w:rPr>
        <w:t>IFs</w:t>
      </w:r>
      <w:proofErr w:type="spellEnd"/>
      <w:r w:rsidR="00FD4EDA">
        <w:rPr>
          <w:rStyle w:val="FontesChar"/>
        </w:rPr>
        <w:t xml:space="preserve">; </w:t>
      </w:r>
      <w:proofErr w:type="spellStart"/>
      <w:r>
        <w:rPr>
          <w:rStyle w:val="FontesChar"/>
        </w:rPr>
        <w:t>Annual</w:t>
      </w:r>
      <w:proofErr w:type="spellEnd"/>
      <w:r>
        <w:rPr>
          <w:rStyle w:val="FontesChar"/>
        </w:rPr>
        <w:t xml:space="preserve"> </w:t>
      </w:r>
      <w:proofErr w:type="spellStart"/>
      <w:r>
        <w:rPr>
          <w:rStyle w:val="FontesChar"/>
        </w:rPr>
        <w:t>Reports</w:t>
      </w:r>
      <w:proofErr w:type="spellEnd"/>
    </w:p>
    <w:p w:rsidR="00FD4EDA" w:rsidRDefault="00FD4EDA" w:rsidP="00FD4EDA">
      <w:pPr>
        <w:pStyle w:val="PargrafodaLista"/>
        <w:numPr>
          <w:ilvl w:val="0"/>
          <w:numId w:val="2"/>
        </w:numPr>
        <w:sectPr w:rsidR="00FD4EDA" w:rsidSect="00FD4EDA">
          <w:pgSz w:w="16838" w:h="11906" w:orient="landscape"/>
          <w:pgMar w:top="1440" w:right="993" w:bottom="1440" w:left="1440" w:header="708" w:footer="708" w:gutter="0"/>
          <w:cols w:space="708"/>
          <w:docGrid w:linePitch="360"/>
        </w:sectPr>
      </w:pPr>
    </w:p>
    <w:p w:rsidR="00FD4EDA" w:rsidRPr="007E336C" w:rsidRDefault="007E336C" w:rsidP="00FD4EDA">
      <w:pPr>
        <w:ind w:firstLine="720"/>
        <w:rPr>
          <w:lang w:val="en-US"/>
        </w:rPr>
      </w:pPr>
      <w:r w:rsidRPr="007E336C">
        <w:rPr>
          <w:lang w:val="en-US"/>
        </w:rPr>
        <w:lastRenderedPageBreak/>
        <w:t>Arranging the sample segment according to their asset share, the banki</w:t>
      </w:r>
      <w:r>
        <w:rPr>
          <w:lang w:val="en-US"/>
        </w:rPr>
        <w:t>ng system consists of:</w:t>
      </w:r>
    </w:p>
    <w:p w:rsidR="00FD4EDA" w:rsidRPr="007E336C" w:rsidRDefault="007E336C" w:rsidP="00FD4EDA">
      <w:pPr>
        <w:pStyle w:val="PargrafodaLista"/>
        <w:numPr>
          <w:ilvl w:val="0"/>
          <w:numId w:val="5"/>
        </w:numPr>
        <w:rPr>
          <w:lang w:val="en-US"/>
        </w:rPr>
      </w:pPr>
      <w:r w:rsidRPr="007E336C">
        <w:rPr>
          <w:lang w:val="en-US"/>
        </w:rPr>
        <w:t xml:space="preserve">Five large </w:t>
      </w:r>
      <w:r w:rsidR="00FD4EDA" w:rsidRPr="007E336C">
        <w:rPr>
          <w:lang w:val="en-US"/>
        </w:rPr>
        <w:t>institu</w:t>
      </w:r>
      <w:r w:rsidRPr="007E336C">
        <w:rPr>
          <w:lang w:val="en-US"/>
        </w:rPr>
        <w:t>tions, r</w:t>
      </w:r>
      <w:r w:rsidR="00FD4EDA" w:rsidRPr="007E336C">
        <w:rPr>
          <w:lang w:val="en-US"/>
        </w:rPr>
        <w:t>epresent</w:t>
      </w:r>
      <w:r w:rsidRPr="007E336C">
        <w:rPr>
          <w:lang w:val="en-US"/>
        </w:rPr>
        <w:t>ing</w:t>
      </w:r>
      <w:r w:rsidR="00FD4EDA" w:rsidRPr="007E336C">
        <w:rPr>
          <w:lang w:val="en-US"/>
        </w:rPr>
        <w:t xml:space="preserve"> 71,8% </w:t>
      </w:r>
      <w:r w:rsidRPr="007E336C">
        <w:rPr>
          <w:lang w:val="en-US"/>
        </w:rPr>
        <w:t xml:space="preserve">of total aggregate assets, equivalent </w:t>
      </w:r>
      <w:r>
        <w:rPr>
          <w:lang w:val="en-US"/>
        </w:rPr>
        <w:t xml:space="preserve">to </w:t>
      </w:r>
      <w:r w:rsidR="00FD4EDA" w:rsidRPr="007E336C">
        <w:rPr>
          <w:lang w:val="en-US"/>
        </w:rPr>
        <w:t xml:space="preserve">4.754 </w:t>
      </w:r>
      <w:r>
        <w:rPr>
          <w:lang w:val="en-US"/>
        </w:rPr>
        <w:t>billion</w:t>
      </w:r>
      <w:r w:rsidR="00FD4EDA" w:rsidRPr="007E336C">
        <w:rPr>
          <w:lang w:val="en-US"/>
        </w:rPr>
        <w:t xml:space="preserve"> Kwanzas;</w:t>
      </w:r>
    </w:p>
    <w:p w:rsidR="00FD4EDA" w:rsidRPr="007E336C" w:rsidRDefault="00FD4EDA" w:rsidP="00FD4EDA">
      <w:pPr>
        <w:pStyle w:val="PargrafodaLista"/>
        <w:numPr>
          <w:ilvl w:val="0"/>
          <w:numId w:val="5"/>
        </w:numPr>
        <w:rPr>
          <w:lang w:val="en-US"/>
        </w:rPr>
      </w:pPr>
      <w:r w:rsidRPr="007E336C">
        <w:rPr>
          <w:lang w:val="en-US"/>
        </w:rPr>
        <w:t>N</w:t>
      </w:r>
      <w:r w:rsidR="007E336C" w:rsidRPr="007E336C">
        <w:rPr>
          <w:lang w:val="en-US"/>
        </w:rPr>
        <w:t xml:space="preserve">ine medium-sized institutions, representing </w:t>
      </w:r>
      <w:r w:rsidRPr="007E336C">
        <w:rPr>
          <w:lang w:val="en-US"/>
        </w:rPr>
        <w:t xml:space="preserve">26,0% </w:t>
      </w:r>
      <w:r w:rsidR="007E336C" w:rsidRPr="007E336C">
        <w:rPr>
          <w:lang w:val="en-US"/>
        </w:rPr>
        <w:t xml:space="preserve">of total aggregate assets, equivalent of </w:t>
      </w:r>
      <w:r w:rsidRPr="007E336C">
        <w:rPr>
          <w:lang w:val="en-US"/>
        </w:rPr>
        <w:t xml:space="preserve">1.720 </w:t>
      </w:r>
      <w:r w:rsidR="007E336C">
        <w:rPr>
          <w:lang w:val="en-US"/>
        </w:rPr>
        <w:t>billion</w:t>
      </w:r>
      <w:r w:rsidRPr="007E336C">
        <w:rPr>
          <w:lang w:val="en-US"/>
        </w:rPr>
        <w:t xml:space="preserve"> Kwanzas;</w:t>
      </w:r>
    </w:p>
    <w:p w:rsidR="00FD4EDA" w:rsidRPr="007E336C" w:rsidRDefault="007E336C" w:rsidP="00FD4EDA">
      <w:pPr>
        <w:pStyle w:val="PargrafodaLista"/>
        <w:numPr>
          <w:ilvl w:val="0"/>
          <w:numId w:val="5"/>
        </w:numPr>
        <w:rPr>
          <w:lang w:val="en-US"/>
        </w:rPr>
      </w:pPr>
      <w:r w:rsidRPr="007E336C">
        <w:rPr>
          <w:lang w:val="en-US"/>
        </w:rPr>
        <w:t>Seven small i</w:t>
      </w:r>
      <w:r w:rsidR="00FD4EDA" w:rsidRPr="007E336C">
        <w:rPr>
          <w:lang w:val="en-US"/>
        </w:rPr>
        <w:t>nstitu</w:t>
      </w:r>
      <w:r w:rsidRPr="007E336C">
        <w:rPr>
          <w:lang w:val="en-US"/>
        </w:rPr>
        <w:t>tions, re</w:t>
      </w:r>
      <w:r w:rsidR="00FD4EDA" w:rsidRPr="007E336C">
        <w:rPr>
          <w:lang w:val="en-US"/>
        </w:rPr>
        <w:t>present</w:t>
      </w:r>
      <w:r w:rsidRPr="007E336C">
        <w:rPr>
          <w:lang w:val="en-US"/>
        </w:rPr>
        <w:t>ing</w:t>
      </w:r>
      <w:r w:rsidR="00FD4EDA" w:rsidRPr="007E336C">
        <w:rPr>
          <w:lang w:val="en-US"/>
        </w:rPr>
        <w:t xml:space="preserve"> 2</w:t>
      </w:r>
      <w:proofErr w:type="gramStart"/>
      <w:r w:rsidR="00FD4EDA" w:rsidRPr="007E336C">
        <w:rPr>
          <w:lang w:val="en-US"/>
        </w:rPr>
        <w:t>,2</w:t>
      </w:r>
      <w:proofErr w:type="gramEnd"/>
      <w:r w:rsidR="00FD4EDA" w:rsidRPr="007E336C">
        <w:rPr>
          <w:lang w:val="en-US"/>
        </w:rPr>
        <w:t xml:space="preserve">% </w:t>
      </w:r>
      <w:r w:rsidRPr="007E336C">
        <w:rPr>
          <w:lang w:val="en-US"/>
        </w:rPr>
        <w:t xml:space="preserve">of </w:t>
      </w:r>
      <w:r w:rsidR="00FD4EDA" w:rsidRPr="007E336C">
        <w:rPr>
          <w:lang w:val="en-US"/>
        </w:rPr>
        <w:t>total</w:t>
      </w:r>
      <w:r w:rsidRPr="007E336C">
        <w:rPr>
          <w:lang w:val="en-US"/>
        </w:rPr>
        <w:t xml:space="preserve"> aggregate assets, </w:t>
      </w:r>
      <w:r>
        <w:rPr>
          <w:lang w:val="en-US"/>
        </w:rPr>
        <w:t xml:space="preserve">equivalent of 146 billion </w:t>
      </w:r>
      <w:r w:rsidR="00FD4EDA" w:rsidRPr="007E336C">
        <w:rPr>
          <w:lang w:val="en-US"/>
        </w:rPr>
        <w:t xml:space="preserve">Kwanzas. </w:t>
      </w:r>
    </w:p>
    <w:p w:rsidR="00FD4EDA" w:rsidRPr="007E336C" w:rsidRDefault="00FD4EDA" w:rsidP="00FD4EDA">
      <w:pPr>
        <w:pStyle w:val="Cabealho2"/>
        <w:ind w:left="720"/>
        <w:rPr>
          <w:lang w:val="en-US"/>
        </w:rPr>
      </w:pPr>
    </w:p>
    <w:p w:rsidR="00FD4EDA" w:rsidRPr="00271E0C" w:rsidRDefault="00FD4EDA" w:rsidP="00FD4EDA">
      <w:pPr>
        <w:pStyle w:val="Cabealho2"/>
        <w:ind w:left="720"/>
        <w:rPr>
          <w:lang w:val="en-US"/>
        </w:rPr>
      </w:pPr>
      <w:r w:rsidRPr="00271E0C">
        <w:rPr>
          <w:lang w:val="en-US"/>
        </w:rPr>
        <w:t>Limita</w:t>
      </w:r>
      <w:r w:rsidR="00A3173C" w:rsidRPr="00271E0C">
        <w:rPr>
          <w:lang w:val="en-US"/>
        </w:rPr>
        <w:t>tions</w:t>
      </w:r>
    </w:p>
    <w:p w:rsidR="00FD4EDA" w:rsidRPr="00271E0C" w:rsidRDefault="00FD4EDA" w:rsidP="00FD4EDA">
      <w:pPr>
        <w:rPr>
          <w:color w:val="FF0000"/>
          <w:sz w:val="12"/>
          <w:lang w:val="en-US"/>
        </w:rPr>
      </w:pPr>
    </w:p>
    <w:p w:rsidR="00FD4EDA" w:rsidRPr="00271E0C" w:rsidRDefault="00FD4EDA" w:rsidP="00FD4EDA">
      <w:pPr>
        <w:rPr>
          <w:b/>
          <w:sz w:val="24"/>
          <w:lang w:val="en-US"/>
        </w:rPr>
      </w:pPr>
      <w:proofErr w:type="spellStart"/>
      <w:r w:rsidRPr="00271E0C">
        <w:rPr>
          <w:b/>
          <w:sz w:val="24"/>
          <w:lang w:val="en-US"/>
        </w:rPr>
        <w:t>Acess</w:t>
      </w:r>
      <w:proofErr w:type="spellEnd"/>
      <w:r w:rsidRPr="00271E0C">
        <w:rPr>
          <w:b/>
          <w:sz w:val="24"/>
          <w:lang w:val="en-US"/>
        </w:rPr>
        <w:t xml:space="preserve"> </w:t>
      </w:r>
      <w:r w:rsidR="00A3173C" w:rsidRPr="00271E0C">
        <w:rPr>
          <w:b/>
          <w:sz w:val="24"/>
          <w:lang w:val="en-US"/>
        </w:rPr>
        <w:t>to Information</w:t>
      </w:r>
    </w:p>
    <w:p w:rsidR="00FD4EDA" w:rsidRPr="00406464" w:rsidRDefault="00082349" w:rsidP="00FD4EDA">
      <w:pPr>
        <w:ind w:firstLine="720"/>
        <w:rPr>
          <w:lang w:val="en-US"/>
        </w:rPr>
      </w:pPr>
      <w:r w:rsidRPr="00082349">
        <w:rPr>
          <w:lang w:val="en-US"/>
        </w:rPr>
        <w:t>As there is no uniform structure, which defines the degree of detail and breakdown of the data published by financial institutions, ABANC created files that detail the l</w:t>
      </w:r>
      <w:r>
        <w:rPr>
          <w:lang w:val="en-US"/>
        </w:rPr>
        <w:t xml:space="preserve">evel of disaggregation </w:t>
      </w:r>
      <w:r w:rsidR="00BE2BD9">
        <w:rPr>
          <w:lang w:val="en-US"/>
        </w:rPr>
        <w:t>required in order to maintain comparability between data supplied by its members</w:t>
      </w:r>
      <w:r w:rsidR="00FD4EDA" w:rsidRPr="00082349">
        <w:rPr>
          <w:lang w:val="en-US"/>
        </w:rPr>
        <w:t xml:space="preserve">. </w:t>
      </w:r>
      <w:r w:rsidR="00406464" w:rsidRPr="00406464">
        <w:rPr>
          <w:lang w:val="en-US"/>
        </w:rPr>
        <w:t>One of the biggest challenges has been the collection of this data and obtaining a</w:t>
      </w:r>
      <w:r w:rsidR="00406464">
        <w:rPr>
          <w:lang w:val="en-US"/>
        </w:rPr>
        <w:t>ll required elements, since not all members respond timely to information request.</w:t>
      </w:r>
      <w:r w:rsidR="00FD4EDA" w:rsidRPr="00406464">
        <w:rPr>
          <w:lang w:val="en-US"/>
        </w:rPr>
        <w:t xml:space="preserve"> </w:t>
      </w:r>
    </w:p>
    <w:p w:rsidR="00FD4EDA" w:rsidRPr="007D7E9C" w:rsidRDefault="007D7E9C" w:rsidP="00FD4EDA">
      <w:pPr>
        <w:ind w:firstLine="720"/>
        <w:rPr>
          <w:lang w:val="en-US"/>
        </w:rPr>
      </w:pPr>
      <w:r w:rsidRPr="007D7E9C">
        <w:rPr>
          <w:lang w:val="en-US"/>
        </w:rPr>
        <w:t>The second limitation is related with the availability of disaggregated inf</w:t>
      </w:r>
      <w:r>
        <w:rPr>
          <w:lang w:val="en-US"/>
        </w:rPr>
        <w:t xml:space="preserve">ormation for a more detailed study of the sector and from different perspectives. </w:t>
      </w:r>
      <w:r w:rsidRPr="007D7E9C">
        <w:rPr>
          <w:lang w:val="en-US"/>
        </w:rPr>
        <w:t>As noted in the report, there is still lack of information about loans (due and overdue) and deposit</w:t>
      </w:r>
      <w:r>
        <w:rPr>
          <w:lang w:val="en-US"/>
        </w:rPr>
        <w:t>s (current and term) broken down by instruments, sectors (public sector, corporate and private), currency and by province.</w:t>
      </w:r>
    </w:p>
    <w:p w:rsidR="00FD4EDA" w:rsidRPr="00271E0C" w:rsidRDefault="007D7E9C" w:rsidP="00FD4EDA">
      <w:pPr>
        <w:rPr>
          <w:b/>
          <w:lang w:val="en-US"/>
        </w:rPr>
      </w:pPr>
      <w:r w:rsidRPr="00271E0C">
        <w:rPr>
          <w:b/>
          <w:lang w:val="en-US"/>
        </w:rPr>
        <w:t>Loans by Currency</w:t>
      </w:r>
    </w:p>
    <w:p w:rsidR="00FD4EDA" w:rsidRPr="007D7E9C" w:rsidRDefault="007D7E9C" w:rsidP="00FD4EDA">
      <w:pPr>
        <w:ind w:firstLine="708"/>
        <w:rPr>
          <w:lang w:val="en-US"/>
        </w:rPr>
      </w:pPr>
      <w:r w:rsidRPr="007D7E9C">
        <w:rPr>
          <w:lang w:val="en-US"/>
        </w:rPr>
        <w:t xml:space="preserve">This breakdown was based on the indicator Loans in Foreign Currency / Total Loans calculated by BNA, presented as part of the </w:t>
      </w:r>
      <w:r>
        <w:rPr>
          <w:lang w:val="en-US"/>
        </w:rPr>
        <w:t>Angolan financial system indicators, to infer the proportion of loans by currency. There is no information on the basis for calculating this indicator.</w:t>
      </w:r>
    </w:p>
    <w:p w:rsidR="00FD4EDA" w:rsidRPr="00271E0C" w:rsidRDefault="00FD4EDA" w:rsidP="00FD4EDA">
      <w:pPr>
        <w:rPr>
          <w:b/>
          <w:lang w:val="en-US"/>
        </w:rPr>
      </w:pPr>
      <w:r w:rsidRPr="00271E0C">
        <w:rPr>
          <w:b/>
          <w:lang w:val="en-US"/>
        </w:rPr>
        <w:t>Decomposi</w:t>
      </w:r>
      <w:r w:rsidR="007D7E9C" w:rsidRPr="00271E0C">
        <w:rPr>
          <w:b/>
          <w:lang w:val="en-US"/>
        </w:rPr>
        <w:t>tion of Loans</w:t>
      </w:r>
    </w:p>
    <w:p w:rsidR="00FD4EDA" w:rsidRPr="00CC1892" w:rsidRDefault="00FD4EDA" w:rsidP="00FD4EDA">
      <w:pPr>
        <w:rPr>
          <w:lang w:val="en-US"/>
        </w:rPr>
      </w:pPr>
      <w:r w:rsidRPr="00271E0C">
        <w:rPr>
          <w:lang w:val="en-US"/>
        </w:rPr>
        <w:tab/>
      </w:r>
      <w:r w:rsidR="007D7E9C" w:rsidRPr="007D7E9C">
        <w:rPr>
          <w:lang w:val="en-US"/>
        </w:rPr>
        <w:t>This breakdown was calculated based on the indicator Overdue Loans / Total Loans presented by DSI (formerly DSB) of the BNA in the financial system indicators to infer t</w:t>
      </w:r>
      <w:r w:rsidR="007D7E9C">
        <w:rPr>
          <w:lang w:val="en-US"/>
        </w:rPr>
        <w:t xml:space="preserve">he proportion of outstanding loans and due loans over the gross loans. </w:t>
      </w:r>
      <w:r w:rsidR="007D7E9C" w:rsidRPr="00CC1892">
        <w:rPr>
          <w:lang w:val="en-US"/>
        </w:rPr>
        <w:t xml:space="preserve">Since not all the banks </w:t>
      </w:r>
      <w:r w:rsidR="00CC1892" w:rsidRPr="00CC1892">
        <w:rPr>
          <w:lang w:val="en-US"/>
        </w:rPr>
        <w:t>provided the information regarding the amount of provisions for doubtful loans, this caption was calculated f</w:t>
      </w:r>
      <w:r w:rsidR="00CC1892">
        <w:rPr>
          <w:lang w:val="en-US"/>
        </w:rPr>
        <w:t>rom the ration Provisions for Loans / Total Loans, using the sample with the banks that provided this information.</w:t>
      </w:r>
    </w:p>
    <w:p w:rsidR="00FD4EDA" w:rsidRPr="00CC1892" w:rsidRDefault="00FD4EDA" w:rsidP="00FD4EDA">
      <w:pPr>
        <w:rPr>
          <w:b/>
          <w:lang w:val="en-US"/>
        </w:rPr>
      </w:pPr>
    </w:p>
    <w:p w:rsidR="00FD4EDA" w:rsidRPr="00271E0C" w:rsidRDefault="002C55EE" w:rsidP="00FD4EDA">
      <w:pPr>
        <w:rPr>
          <w:b/>
          <w:lang w:val="en-US"/>
        </w:rPr>
      </w:pPr>
      <w:r w:rsidRPr="00271E0C">
        <w:rPr>
          <w:b/>
          <w:lang w:val="en-US"/>
        </w:rPr>
        <w:t>Deposits by Currency</w:t>
      </w:r>
    </w:p>
    <w:p w:rsidR="00FD4EDA" w:rsidRPr="002C55EE" w:rsidRDefault="002C55EE" w:rsidP="00FD4EDA">
      <w:pPr>
        <w:ind w:firstLine="720"/>
        <w:rPr>
          <w:lang w:val="en-US"/>
        </w:rPr>
      </w:pPr>
      <w:r w:rsidRPr="002C55EE">
        <w:rPr>
          <w:lang w:val="en-US"/>
        </w:rPr>
        <w:lastRenderedPageBreak/>
        <w:t>This breakdown was inferred based on the information on deposits presented by DES of</w:t>
      </w:r>
      <w:r>
        <w:rPr>
          <w:lang w:val="en-US"/>
        </w:rPr>
        <w:t xml:space="preserve"> BNA in the consolidated balance sheet of commercial banks.</w:t>
      </w:r>
    </w:p>
    <w:p w:rsidR="00FD4EDA" w:rsidRPr="00271E0C" w:rsidRDefault="00FD4EDA" w:rsidP="00FD4EDA">
      <w:pPr>
        <w:rPr>
          <w:b/>
          <w:lang w:val="en-US"/>
        </w:rPr>
      </w:pPr>
      <w:r w:rsidRPr="00271E0C">
        <w:rPr>
          <w:b/>
          <w:lang w:val="en-US"/>
        </w:rPr>
        <w:t>Decomposi</w:t>
      </w:r>
      <w:r w:rsidR="002C55EE" w:rsidRPr="00271E0C">
        <w:rPr>
          <w:b/>
          <w:lang w:val="en-US"/>
        </w:rPr>
        <w:t>tion of Deposits</w:t>
      </w:r>
    </w:p>
    <w:p w:rsidR="00FD4EDA" w:rsidRPr="002C55EE" w:rsidRDefault="00FD4EDA" w:rsidP="00FD4EDA">
      <w:pPr>
        <w:rPr>
          <w:lang w:val="en-US"/>
        </w:rPr>
      </w:pPr>
      <w:r w:rsidRPr="00271E0C">
        <w:rPr>
          <w:lang w:val="en-US"/>
        </w:rPr>
        <w:tab/>
      </w:r>
      <w:r w:rsidR="002C55EE" w:rsidRPr="002C55EE">
        <w:rPr>
          <w:lang w:val="en-US"/>
        </w:rPr>
        <w:t xml:space="preserve">This breakdown was calculated by using the situation of deposits in banks presented by </w:t>
      </w:r>
      <w:r w:rsidR="002C55EE">
        <w:rPr>
          <w:lang w:val="en-US"/>
        </w:rPr>
        <w:t>D</w:t>
      </w:r>
      <w:r w:rsidR="002C55EE" w:rsidRPr="002C55EE">
        <w:rPr>
          <w:lang w:val="en-US"/>
        </w:rPr>
        <w:t xml:space="preserve">ES of BNA to infer the proportion of </w:t>
      </w:r>
      <w:r w:rsidR="00634713">
        <w:rPr>
          <w:lang w:val="en-US"/>
        </w:rPr>
        <w:t>demand</w:t>
      </w:r>
      <w:r w:rsidR="002C55EE" w:rsidRPr="002C55EE">
        <w:rPr>
          <w:lang w:val="en-US"/>
        </w:rPr>
        <w:t xml:space="preserve"> deposits and term deposits, excluding</w:t>
      </w:r>
      <w:r w:rsidR="002C55EE">
        <w:rPr>
          <w:lang w:val="en-US"/>
        </w:rPr>
        <w:t xml:space="preserve"> the deposits of Central Government and Autonomous Public Funds and Social Security</w:t>
      </w:r>
      <w:r w:rsidRPr="002C55EE">
        <w:rPr>
          <w:lang w:val="en-US"/>
        </w:rPr>
        <w:t>.</w:t>
      </w:r>
    </w:p>
    <w:p w:rsidR="00FD4EDA" w:rsidRPr="002C55EE" w:rsidRDefault="00FD4EDA" w:rsidP="00FD4EDA">
      <w:pPr>
        <w:rPr>
          <w:b/>
          <w:lang w:val="en-US"/>
        </w:rPr>
      </w:pPr>
      <w:r w:rsidRPr="002C55EE">
        <w:rPr>
          <w:b/>
          <w:lang w:val="en-US"/>
        </w:rPr>
        <w:t>Distribu</w:t>
      </w:r>
      <w:r w:rsidR="002C55EE" w:rsidRPr="002C55EE">
        <w:rPr>
          <w:b/>
          <w:lang w:val="en-US"/>
        </w:rPr>
        <w:t>tion of Banking Network by Province</w:t>
      </w:r>
      <w:r w:rsidRPr="002C55EE">
        <w:rPr>
          <w:b/>
          <w:lang w:val="en-US"/>
        </w:rPr>
        <w:t xml:space="preserve"> </w:t>
      </w:r>
    </w:p>
    <w:p w:rsidR="00FD4EDA" w:rsidRPr="002C55EE" w:rsidRDefault="00FD4EDA" w:rsidP="00FD4EDA">
      <w:pPr>
        <w:rPr>
          <w:lang w:val="en-US"/>
        </w:rPr>
      </w:pPr>
      <w:r w:rsidRPr="002C55EE">
        <w:rPr>
          <w:lang w:val="en-US"/>
        </w:rPr>
        <w:tab/>
      </w:r>
      <w:r w:rsidR="002C55EE" w:rsidRPr="002C55EE">
        <w:rPr>
          <w:lang w:val="en-US"/>
        </w:rPr>
        <w:t>The information for mapping the banking network by province was obtained from the data reported by A</w:t>
      </w:r>
      <w:r w:rsidR="002C55EE">
        <w:rPr>
          <w:lang w:val="en-US"/>
        </w:rPr>
        <w:t xml:space="preserve">BANC’s members, and when missing, it was used the data on the annual reports and institutional websites. </w:t>
      </w:r>
      <w:r w:rsidR="002C55EE" w:rsidRPr="002C55EE">
        <w:rPr>
          <w:lang w:val="en-US"/>
        </w:rPr>
        <w:t>According to available data, it was not always possible to distinguish the open</w:t>
      </w:r>
      <w:r w:rsidR="002C55EE">
        <w:rPr>
          <w:lang w:val="en-US"/>
        </w:rPr>
        <w:t xml:space="preserve">ing date for the agencies, making it difficult to organize the data </w:t>
      </w:r>
      <w:r w:rsidR="009347B8">
        <w:rPr>
          <w:lang w:val="en-US"/>
        </w:rPr>
        <w:t>by periods of time</w:t>
      </w:r>
    </w:p>
    <w:p w:rsidR="00FD4EDA" w:rsidRPr="009347B8" w:rsidRDefault="009347B8" w:rsidP="00FD4EDA">
      <w:pPr>
        <w:rPr>
          <w:lang w:val="en-US"/>
        </w:rPr>
      </w:pPr>
      <w:r w:rsidRPr="009347B8">
        <w:rPr>
          <w:lang w:val="en-US"/>
        </w:rPr>
        <w:t>T</w:t>
      </w:r>
      <w:r>
        <w:rPr>
          <w:lang w:val="en-US"/>
        </w:rPr>
        <w:t>o</w:t>
      </w:r>
      <w:r w:rsidRPr="009347B8">
        <w:rPr>
          <w:lang w:val="en-US"/>
        </w:rPr>
        <w:t xml:space="preserve"> calculate the banking indicators for the period 2012-2013</w:t>
      </w:r>
      <w:r>
        <w:rPr>
          <w:lang w:val="en-US"/>
        </w:rPr>
        <w:t>,</w:t>
      </w:r>
      <w:r w:rsidRPr="009347B8">
        <w:rPr>
          <w:lang w:val="en-US"/>
        </w:rPr>
        <w:t xml:space="preserve"> it was used the </w:t>
      </w:r>
      <w:r>
        <w:rPr>
          <w:lang w:val="en-US"/>
        </w:rPr>
        <w:t>number of active customers. For the period 2010-2011, it was used the number of depositors that have a Multicaixa card.</w:t>
      </w:r>
      <w:r w:rsidR="00FD4EDA" w:rsidRPr="009347B8">
        <w:rPr>
          <w:lang w:val="en-US"/>
        </w:rPr>
        <w:t xml:space="preserve"> </w:t>
      </w:r>
    </w:p>
    <w:p w:rsidR="00FD4EDA" w:rsidRPr="009347B8" w:rsidRDefault="00FD4EDA" w:rsidP="00FD4EDA">
      <w:pPr>
        <w:rPr>
          <w:lang w:val="en-US"/>
        </w:rPr>
        <w:sectPr w:rsidR="00FD4EDA" w:rsidRPr="009347B8" w:rsidSect="00545827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:rsidR="004D0BDA" w:rsidRPr="009347B8" w:rsidRDefault="004D0BDA" w:rsidP="004D0BDA">
      <w:pPr>
        <w:pStyle w:val="Cabealho2"/>
        <w:ind w:left="720"/>
        <w:rPr>
          <w:lang w:val="en-US"/>
        </w:rPr>
      </w:pPr>
      <w:bookmarkStart w:id="12" w:name="_Toc357409347"/>
      <w:bookmarkStart w:id="13" w:name="_Toc401576548"/>
      <w:bookmarkEnd w:id="5"/>
      <w:bookmarkEnd w:id="6"/>
      <w:r w:rsidRPr="009347B8">
        <w:rPr>
          <w:lang w:val="en-US"/>
        </w:rPr>
        <w:lastRenderedPageBreak/>
        <w:t>Met</w:t>
      </w:r>
      <w:r w:rsidR="009347B8" w:rsidRPr="009347B8">
        <w:rPr>
          <w:lang w:val="en-US"/>
        </w:rPr>
        <w:t>h</w:t>
      </w:r>
      <w:r w:rsidRPr="009347B8">
        <w:rPr>
          <w:lang w:val="en-US"/>
        </w:rPr>
        <w:t>odolog</w:t>
      </w:r>
      <w:r w:rsidR="009347B8">
        <w:rPr>
          <w:lang w:val="en-US"/>
        </w:rPr>
        <w:t>y for Calculations</w:t>
      </w:r>
      <w:r w:rsidR="009347B8" w:rsidRPr="009347B8">
        <w:rPr>
          <w:lang w:val="en-US"/>
        </w:rPr>
        <w:t>, Ratios and Indica</w:t>
      </w:r>
      <w:bookmarkEnd w:id="12"/>
      <w:bookmarkEnd w:id="13"/>
      <w:r w:rsidR="009347B8" w:rsidRPr="009347B8">
        <w:rPr>
          <w:lang w:val="en-US"/>
        </w:rPr>
        <w:t>t</w:t>
      </w:r>
      <w:r w:rsidR="009347B8">
        <w:rPr>
          <w:lang w:val="en-US"/>
        </w:rPr>
        <w:t>ors</w:t>
      </w:r>
    </w:p>
    <w:p w:rsidR="004D0BDA" w:rsidRPr="009347B8" w:rsidRDefault="004D0BDA" w:rsidP="004D0BDA">
      <w:pPr>
        <w:rPr>
          <w:sz w:val="8"/>
          <w:lang w:val="en-US"/>
        </w:rPr>
      </w:pPr>
      <w:bookmarkStart w:id="14" w:name="_Ref355009732"/>
      <w:bookmarkStart w:id="15" w:name="_Ref355009938"/>
    </w:p>
    <w:p w:rsidR="004D0BDA" w:rsidRPr="004D0BDA" w:rsidRDefault="004D0BDA" w:rsidP="004D0BDA">
      <w:pPr>
        <w:pStyle w:val="Legenda"/>
      </w:pPr>
      <w:bookmarkStart w:id="16" w:name="_Toc357408642"/>
      <w:bookmarkStart w:id="17" w:name="_Toc401576595"/>
      <w:bookmarkEnd w:id="14"/>
      <w:bookmarkEnd w:id="15"/>
      <w:r w:rsidRPr="004D0BDA">
        <w:t xml:space="preserve">Quadro </w:t>
      </w:r>
      <w:r w:rsidRPr="004D0BDA">
        <w:fldChar w:fldCharType="begin"/>
      </w:r>
      <w:r w:rsidRPr="004D0BDA">
        <w:instrText xml:space="preserve"> SEQ Quadro \* ARABIC </w:instrText>
      </w:r>
      <w:r w:rsidRPr="004D0BDA">
        <w:fldChar w:fldCharType="separate"/>
      </w:r>
      <w:r w:rsidR="009347B8">
        <w:t>1</w:t>
      </w:r>
      <w:r w:rsidRPr="004D0BDA">
        <w:fldChar w:fldCharType="end"/>
      </w:r>
      <w:r w:rsidRPr="004D0BDA">
        <w:t xml:space="preserve"> – C</w:t>
      </w:r>
      <w:r w:rsidR="009347B8">
        <w:t>alculations, Ratios and Indicators</w:t>
      </w:r>
      <w:bookmarkEnd w:id="16"/>
      <w:bookmarkEnd w:id="17"/>
    </w:p>
    <w:tbl>
      <w:tblPr>
        <w:tblStyle w:val="ABANC"/>
        <w:tblW w:w="5184" w:type="pct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44"/>
        <w:gridCol w:w="6397"/>
      </w:tblGrid>
      <w:tr w:rsidR="004D0BDA" w:rsidRPr="004D0BDA" w:rsidTr="00027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4D0BDA" w:rsidRPr="004D0BDA" w:rsidRDefault="004D0BDA" w:rsidP="00FD4EDA">
            <w:pPr>
              <w:spacing w:before="240" w:after="240"/>
              <w:contextualSpacing/>
              <w:jc w:val="left"/>
              <w:rPr>
                <w:b/>
              </w:rPr>
            </w:pPr>
          </w:p>
        </w:tc>
        <w:tc>
          <w:tcPr>
            <w:tcW w:w="3538" w:type="pct"/>
          </w:tcPr>
          <w:p w:rsidR="004D0BDA" w:rsidRPr="004D0BDA" w:rsidRDefault="004D0BDA" w:rsidP="00027F25">
            <w:pPr>
              <w:spacing w:before="240" w:after="2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0BDA" w:rsidRPr="00634713" w:rsidTr="00027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4D0BDA" w:rsidRPr="004D0BDA" w:rsidRDefault="00FE05C0" w:rsidP="00FD4EDA">
            <w:pPr>
              <w:spacing w:before="240" w:after="240"/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Active </w:t>
            </w:r>
            <w:proofErr w:type="spellStart"/>
            <w:r>
              <w:rPr>
                <w:b/>
              </w:rPr>
              <w:t>Cards</w:t>
            </w:r>
            <w:proofErr w:type="spellEnd"/>
          </w:p>
        </w:tc>
        <w:tc>
          <w:tcPr>
            <w:tcW w:w="3538" w:type="pct"/>
          </w:tcPr>
          <w:p w:rsidR="004D0BDA" w:rsidRPr="00FE05C0" w:rsidRDefault="004D0BDA" w:rsidP="00FE05C0">
            <w:pPr>
              <w:spacing w:before="240"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FE05C0">
              <w:rPr>
                <w:lang w:val="en-US"/>
              </w:rPr>
              <w:t xml:space="preserve">Total </w:t>
            </w:r>
            <w:r w:rsidR="00FE05C0" w:rsidRPr="00FE05C0">
              <w:rPr>
                <w:lang w:val="en-US"/>
              </w:rPr>
              <w:t xml:space="preserve">cards </w:t>
            </w:r>
            <w:r w:rsidR="00FE05C0">
              <w:rPr>
                <w:lang w:val="en-US"/>
              </w:rPr>
              <w:t>with</w:t>
            </w:r>
            <w:r w:rsidR="00FE05C0" w:rsidRPr="00FE05C0">
              <w:rPr>
                <w:lang w:val="en-US"/>
              </w:rPr>
              <w:t xml:space="preserve"> at least one movement in the m</w:t>
            </w:r>
            <w:r w:rsidR="00FE05C0">
              <w:rPr>
                <w:lang w:val="en-US"/>
              </w:rPr>
              <w:t>onth</w:t>
            </w:r>
          </w:p>
        </w:tc>
      </w:tr>
      <w:tr w:rsidR="00791430" w:rsidRPr="004D0BDA" w:rsidTr="006F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791430" w:rsidRPr="004D0BDA" w:rsidRDefault="00791430" w:rsidP="006F0876">
            <w:pPr>
              <w:spacing w:before="240" w:after="240"/>
              <w:contextualSpacing/>
              <w:jc w:val="left"/>
              <w:rPr>
                <w:b/>
              </w:rPr>
            </w:pPr>
            <w:proofErr w:type="spellStart"/>
            <w:r>
              <w:rPr>
                <w:b/>
              </w:rPr>
              <w:t>Activity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Index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ATMs</w:t>
            </w:r>
            <w:proofErr w:type="spellEnd"/>
          </w:p>
        </w:tc>
        <w:tc>
          <w:tcPr>
            <w:tcW w:w="3538" w:type="pct"/>
          </w:tcPr>
          <w:p w:rsidR="00791430" w:rsidRPr="000050F3" w:rsidRDefault="00791430" w:rsidP="006F0876">
            <w:pPr>
              <w:spacing w:before="240"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0050F3">
              <w:rPr>
                <w:lang w:val="en-US"/>
              </w:rPr>
              <w:t>This is equivalent to the ratio of active ATM</w:t>
            </w:r>
            <w:r>
              <w:rPr>
                <w:lang w:val="en-US"/>
              </w:rPr>
              <w:t>s</w:t>
            </w:r>
            <w:r w:rsidRPr="000050F3">
              <w:rPr>
                <w:lang w:val="en-US"/>
              </w:rPr>
              <w:t xml:space="preserve"> over t</w:t>
            </w:r>
            <w:r>
              <w:rPr>
                <w:lang w:val="en-US"/>
              </w:rPr>
              <w:t>he registered ATMs</w:t>
            </w:r>
          </w:p>
          <w:p w:rsidR="00791430" w:rsidRPr="004D0BDA" w:rsidRDefault="00791430" w:rsidP="006F0876">
            <w:pPr>
              <w:spacing w:before="240"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Activity Index of ATMS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Active ATMs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Registered ATMs</m:t>
                    </m:r>
                  </m:den>
                </m:f>
              </m:oMath>
            </m:oMathPara>
          </w:p>
        </w:tc>
      </w:tr>
      <w:tr w:rsidR="00791430" w:rsidRPr="004D0BDA" w:rsidTr="006F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791430" w:rsidRPr="009776B8" w:rsidRDefault="00791430" w:rsidP="006F0876">
            <w:pPr>
              <w:spacing w:before="240" w:after="240"/>
              <w:contextualSpacing/>
              <w:jc w:val="left"/>
              <w:rPr>
                <w:b/>
                <w:lang w:val="en-US"/>
              </w:rPr>
            </w:pPr>
            <w:r w:rsidRPr="009776B8">
              <w:rPr>
                <w:b/>
                <w:lang w:val="en-US"/>
              </w:rPr>
              <w:t>Activity Index of Multicaixa Payment Cards</w:t>
            </w:r>
          </w:p>
        </w:tc>
        <w:tc>
          <w:tcPr>
            <w:tcW w:w="3538" w:type="pct"/>
          </w:tcPr>
          <w:p w:rsidR="00791430" w:rsidRPr="008138E1" w:rsidRDefault="00791430" w:rsidP="006F0876">
            <w:pPr>
              <w:spacing w:before="240"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8138E1">
              <w:rPr>
                <w:lang w:val="en-US"/>
              </w:rPr>
              <w:t xml:space="preserve">This is the equivalent to the ratio of live </w:t>
            </w:r>
            <w:r>
              <w:rPr>
                <w:lang w:val="en-US"/>
              </w:rPr>
              <w:t xml:space="preserve">payment </w:t>
            </w:r>
            <w:r w:rsidRPr="008138E1">
              <w:rPr>
                <w:lang w:val="en-US"/>
              </w:rPr>
              <w:t>cards over valid payment cards</w:t>
            </w:r>
          </w:p>
          <w:p w:rsidR="00791430" w:rsidRPr="004D0BDA" w:rsidRDefault="00791430" w:rsidP="006F0876">
            <w:pPr>
              <w:spacing w:before="240"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Activity Index of Payment Cards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Live Cards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Valid Cards</m:t>
                    </m:r>
                  </m:den>
                </m:f>
              </m:oMath>
            </m:oMathPara>
          </w:p>
        </w:tc>
      </w:tr>
      <w:tr w:rsidR="00791430" w:rsidRPr="004D0BDA" w:rsidTr="006F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791430" w:rsidRPr="004D0BDA" w:rsidRDefault="00791430" w:rsidP="006F0876">
            <w:pPr>
              <w:spacing w:before="240" w:after="24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Activity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Index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POS</w:t>
            </w:r>
          </w:p>
        </w:tc>
        <w:tc>
          <w:tcPr>
            <w:tcW w:w="3538" w:type="pct"/>
          </w:tcPr>
          <w:p w:rsidR="00791430" w:rsidRPr="008138E1" w:rsidRDefault="00791430" w:rsidP="006F0876">
            <w:pPr>
              <w:spacing w:before="240"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8138E1">
              <w:rPr>
                <w:lang w:val="en-US"/>
              </w:rPr>
              <w:t xml:space="preserve">This is the </w:t>
            </w:r>
            <w:r>
              <w:rPr>
                <w:lang w:val="en-US"/>
              </w:rPr>
              <w:t>equivalent</w:t>
            </w:r>
            <w:r w:rsidRPr="008138E1">
              <w:rPr>
                <w:lang w:val="en-US"/>
              </w:rPr>
              <w:t xml:space="preserve"> to the ratio of a</w:t>
            </w:r>
            <w:r>
              <w:rPr>
                <w:lang w:val="en-US"/>
              </w:rPr>
              <w:t>ctive POS over registered POS</w:t>
            </w:r>
          </w:p>
          <w:p w:rsidR="00791430" w:rsidRPr="004D0BDA" w:rsidRDefault="00791430" w:rsidP="006F0876">
            <w:pPr>
              <w:spacing w:before="240"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Index Activity of POS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Active POS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Registered POS</m:t>
                    </m:r>
                  </m:den>
                </m:f>
              </m:oMath>
            </m:oMathPara>
          </w:p>
        </w:tc>
      </w:tr>
      <w:tr w:rsidR="004D0BDA" w:rsidRPr="00634713" w:rsidTr="00027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4D0BDA" w:rsidRPr="00FE05C0" w:rsidRDefault="00FE05C0" w:rsidP="00FD4EDA">
            <w:pPr>
              <w:spacing w:before="240" w:after="240"/>
              <w:contextualSpacing/>
              <w:jc w:val="left"/>
              <w:rPr>
                <w:b/>
                <w:lang w:val="en-US"/>
              </w:rPr>
            </w:pPr>
            <w:r w:rsidRPr="00FE05C0">
              <w:rPr>
                <w:rStyle w:val="Forte"/>
                <w:lang w:val="en-US"/>
              </w:rPr>
              <w:t>Classification of the Segments by Nature of</w:t>
            </w:r>
            <w:r>
              <w:rPr>
                <w:rStyle w:val="Forte"/>
                <w:lang w:val="en-US"/>
              </w:rPr>
              <w:t xml:space="preserve"> the Majority Shareholding</w:t>
            </w:r>
          </w:p>
        </w:tc>
        <w:tc>
          <w:tcPr>
            <w:tcW w:w="3538" w:type="pct"/>
          </w:tcPr>
          <w:p w:rsidR="004D0BDA" w:rsidRPr="009A5333" w:rsidRDefault="00FE05C0" w:rsidP="00027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9A5333">
              <w:rPr>
                <w:lang w:val="en-US"/>
              </w:rPr>
              <w:t xml:space="preserve">In accordance with Law no. 13/05, a natural or legal person has </w:t>
            </w:r>
            <w:r w:rsidR="009A5333" w:rsidRPr="009A5333">
              <w:rPr>
                <w:lang w:val="en-US"/>
              </w:rPr>
              <w:t xml:space="preserve">relationship </w:t>
            </w:r>
            <w:r w:rsidR="009A5333">
              <w:rPr>
                <w:lang w:val="en-US"/>
              </w:rPr>
              <w:t>of dominion over</w:t>
            </w:r>
            <w:r w:rsidR="009A5333" w:rsidRPr="009A5333">
              <w:rPr>
                <w:lang w:val="en-US"/>
              </w:rPr>
              <w:t xml:space="preserve"> a society</w:t>
            </w:r>
            <w:r w:rsidR="009A5333">
              <w:rPr>
                <w:lang w:val="en-US"/>
              </w:rPr>
              <w:t xml:space="preserve"> when some of the following situations occur:</w:t>
            </w:r>
          </w:p>
          <w:p w:rsidR="004D0BDA" w:rsidRPr="009A5333" w:rsidRDefault="009A5333" w:rsidP="004D0BDA">
            <w:pPr>
              <w:pStyle w:val="PargrafodaLista"/>
              <w:numPr>
                <w:ilvl w:val="0"/>
                <w:numId w:val="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9A5333">
              <w:rPr>
                <w:rFonts w:eastAsia="Times New Roman" w:cs="Times New Roman"/>
                <w:lang w:val="en-US"/>
              </w:rPr>
              <w:t>The person in question holds the majority of voting rights;</w:t>
            </w:r>
          </w:p>
          <w:p w:rsidR="004D0BDA" w:rsidRPr="009A5333" w:rsidRDefault="009A5333" w:rsidP="004D0BDA">
            <w:pPr>
              <w:pStyle w:val="PargrafodaLista"/>
              <w:numPr>
                <w:ilvl w:val="0"/>
                <w:numId w:val="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9A5333">
              <w:rPr>
                <w:rFonts w:eastAsia="Times New Roman" w:cs="Times New Roman"/>
                <w:lang w:val="en-US"/>
              </w:rPr>
              <w:t>The person in question is a member of the society and have the r</w:t>
            </w:r>
            <w:r>
              <w:rPr>
                <w:rFonts w:eastAsia="Times New Roman" w:cs="Times New Roman"/>
                <w:lang w:val="en-US"/>
              </w:rPr>
              <w:t>i</w:t>
            </w:r>
            <w:r w:rsidRPr="009A5333">
              <w:rPr>
                <w:rFonts w:eastAsia="Times New Roman" w:cs="Times New Roman"/>
                <w:lang w:val="en-US"/>
              </w:rPr>
              <w:t>ght t</w:t>
            </w:r>
            <w:r>
              <w:rPr>
                <w:rFonts w:eastAsia="Times New Roman" w:cs="Times New Roman"/>
                <w:lang w:val="en-US"/>
              </w:rPr>
              <w:t>o appoint or dismiss more than half the members of the management board or supervisory board;</w:t>
            </w:r>
          </w:p>
          <w:p w:rsidR="004D0BDA" w:rsidRPr="009A5333" w:rsidRDefault="009A5333" w:rsidP="004D0BDA">
            <w:pPr>
              <w:pStyle w:val="PargrafodaLista"/>
              <w:numPr>
                <w:ilvl w:val="0"/>
                <w:numId w:val="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9A5333">
              <w:rPr>
                <w:rFonts w:eastAsia="Times New Roman" w:cs="Times New Roman"/>
                <w:lang w:val="en-US"/>
              </w:rPr>
              <w:t>The person can exercise a dominant influence on a s</w:t>
            </w:r>
            <w:r>
              <w:rPr>
                <w:rFonts w:eastAsia="Times New Roman" w:cs="Times New Roman"/>
                <w:lang w:val="en-US"/>
              </w:rPr>
              <w:t>o</w:t>
            </w:r>
            <w:r w:rsidRPr="009A5333">
              <w:rPr>
                <w:rFonts w:eastAsia="Times New Roman" w:cs="Times New Roman"/>
                <w:lang w:val="en-US"/>
              </w:rPr>
              <w:t xml:space="preserve">ciety </w:t>
            </w:r>
            <w:r>
              <w:rPr>
                <w:rFonts w:eastAsia="Times New Roman" w:cs="Times New Roman"/>
                <w:lang w:val="en-US"/>
              </w:rPr>
              <w:t>by virtue of a contract or by the clauses of the Statute</w:t>
            </w:r>
            <w:r w:rsidR="004D0BDA" w:rsidRPr="009A5333">
              <w:rPr>
                <w:rFonts w:eastAsia="Times New Roman" w:cs="Times New Roman"/>
                <w:lang w:val="en-US"/>
              </w:rPr>
              <w:t>;</w:t>
            </w:r>
          </w:p>
          <w:p w:rsidR="004D0BDA" w:rsidRPr="009A5333" w:rsidRDefault="009A5333" w:rsidP="004D0BDA">
            <w:pPr>
              <w:pStyle w:val="PargrafodaLista"/>
              <w:numPr>
                <w:ilvl w:val="0"/>
                <w:numId w:val="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9A5333">
              <w:rPr>
                <w:rFonts w:eastAsia="Times New Roman" w:cs="Times New Roman"/>
                <w:lang w:val="en-US"/>
              </w:rPr>
              <w:t>The person is a shareholder of the society and</w:t>
            </w:r>
            <w:r w:rsidR="004D0BDA" w:rsidRPr="009A5333">
              <w:rPr>
                <w:rFonts w:eastAsia="Times New Roman" w:cs="Times New Roman"/>
                <w:lang w:val="en-US"/>
              </w:rPr>
              <w:t xml:space="preserve"> </w:t>
            </w:r>
            <w:r w:rsidRPr="009A5333">
              <w:rPr>
                <w:rFonts w:eastAsia="Times New Roman" w:cs="Times New Roman"/>
                <w:lang w:val="en-US"/>
              </w:rPr>
              <w:t>b</w:t>
            </w:r>
            <w:r>
              <w:rPr>
                <w:rFonts w:eastAsia="Times New Roman" w:cs="Times New Roman"/>
                <w:lang w:val="en-US"/>
              </w:rPr>
              <w:t xml:space="preserve">y virtue of an agreement with the other members, controls </w:t>
            </w:r>
            <w:r w:rsidRPr="009A5333">
              <w:rPr>
                <w:rFonts w:eastAsia="Times New Roman" w:cs="Times New Roman"/>
                <w:lang w:val="en-US"/>
              </w:rPr>
              <w:t xml:space="preserve">by itself </w:t>
            </w:r>
            <w:r>
              <w:rPr>
                <w:rFonts w:eastAsia="Times New Roman" w:cs="Times New Roman"/>
                <w:lang w:val="en-US"/>
              </w:rPr>
              <w:t>the majority of the voting rights</w:t>
            </w:r>
            <w:r w:rsidR="004D0BDA" w:rsidRPr="009A5333">
              <w:rPr>
                <w:rFonts w:eastAsia="Times New Roman" w:cs="Times New Roman"/>
                <w:lang w:val="en-US"/>
              </w:rPr>
              <w:t>;</w:t>
            </w:r>
          </w:p>
          <w:p w:rsidR="004D0BDA" w:rsidRPr="00C53DD0" w:rsidRDefault="00C53DD0" w:rsidP="004D0BDA">
            <w:pPr>
              <w:pStyle w:val="PargrafodaLista"/>
              <w:numPr>
                <w:ilvl w:val="0"/>
                <w:numId w:val="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C53DD0">
              <w:rPr>
                <w:rFonts w:eastAsia="Times New Roman" w:cs="Times New Roman"/>
                <w:lang w:val="en-US"/>
              </w:rPr>
              <w:t xml:space="preserve">The person has a </w:t>
            </w:r>
            <w:r>
              <w:rPr>
                <w:rFonts w:eastAsia="Times New Roman" w:cs="Times New Roman"/>
                <w:lang w:val="en-US"/>
              </w:rPr>
              <w:t>holding</w:t>
            </w:r>
            <w:r w:rsidRPr="00C53DD0">
              <w:rPr>
                <w:rFonts w:eastAsia="Times New Roman" w:cs="Times New Roman"/>
                <w:lang w:val="en-US"/>
              </w:rPr>
              <w:t xml:space="preserve"> equal or superior to 20% of the capital of the society, </w:t>
            </w:r>
            <w:r>
              <w:rPr>
                <w:rFonts w:eastAsia="Times New Roman" w:cs="Times New Roman"/>
                <w:lang w:val="en-US"/>
              </w:rPr>
              <w:t>as long as</w:t>
            </w:r>
            <w:r w:rsidRPr="00C53DD0">
              <w:rPr>
                <w:rFonts w:eastAsia="Times New Roman" w:cs="Times New Roman"/>
                <w:lang w:val="en-US"/>
              </w:rPr>
              <w:t xml:space="preserve"> it practices</w:t>
            </w:r>
            <w:r>
              <w:rPr>
                <w:rFonts w:eastAsia="Times New Roman" w:cs="Times New Roman"/>
                <w:lang w:val="en-US"/>
              </w:rPr>
              <w:t xml:space="preserve"> effectively a dominant influence or is both placed under single management.</w:t>
            </w:r>
          </w:p>
          <w:p w:rsidR="006044C6" w:rsidRDefault="00C53DD0" w:rsidP="00C53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53DD0">
              <w:rPr>
                <w:lang w:val="en-US"/>
              </w:rPr>
              <w:t xml:space="preserve">The holding is considered to be </w:t>
            </w:r>
            <w:r w:rsidR="006044C6">
              <w:rPr>
                <w:lang w:val="en-US"/>
              </w:rPr>
              <w:t xml:space="preserve">a </w:t>
            </w:r>
            <w:r w:rsidRPr="00C53DD0">
              <w:rPr>
                <w:lang w:val="en-US"/>
              </w:rPr>
              <w:t xml:space="preserve">majority when the natural or legal person </w:t>
            </w:r>
            <w:r>
              <w:rPr>
                <w:lang w:val="en-US"/>
              </w:rPr>
              <w:t>w</w:t>
            </w:r>
            <w:r w:rsidRPr="00C53DD0">
              <w:rPr>
                <w:lang w:val="en-US"/>
              </w:rPr>
              <w:t xml:space="preserve">ho directly or indirectly holds the qualified holding </w:t>
            </w:r>
            <w:r w:rsidRPr="00C53DD0">
              <w:rPr>
                <w:lang w:val="en-US"/>
              </w:rPr>
              <w:lastRenderedPageBreak/>
              <w:t xml:space="preserve">of the society has a relationship of dominion over the society. </w:t>
            </w:r>
          </w:p>
          <w:p w:rsidR="004D0BDA" w:rsidRPr="0049325F" w:rsidRDefault="004243E5" w:rsidP="00791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It is</w:t>
            </w:r>
            <w:r w:rsidR="006044C6" w:rsidRPr="0049325F">
              <w:rPr>
                <w:lang w:val="en-US"/>
              </w:rPr>
              <w:t xml:space="preserve"> classifie</w:t>
            </w:r>
            <w:r>
              <w:rPr>
                <w:lang w:val="en-US"/>
              </w:rPr>
              <w:t>d</w:t>
            </w:r>
            <w:r w:rsidR="006044C6" w:rsidRPr="0049325F">
              <w:rPr>
                <w:lang w:val="en-US"/>
              </w:rPr>
              <w:t xml:space="preserve"> as </w:t>
            </w:r>
            <w:r w:rsidR="004D0BDA" w:rsidRPr="0049325F">
              <w:rPr>
                <w:lang w:val="en-US"/>
              </w:rPr>
              <w:t>“</w:t>
            </w:r>
            <w:r w:rsidR="006044C6" w:rsidRPr="0049325F">
              <w:rPr>
                <w:lang w:val="en-US"/>
              </w:rPr>
              <w:t>Public Bank</w:t>
            </w:r>
            <w:r w:rsidR="004D0BDA" w:rsidRPr="0049325F">
              <w:rPr>
                <w:lang w:val="en-US"/>
              </w:rPr>
              <w:t xml:space="preserve">” </w:t>
            </w:r>
            <w:r w:rsidR="006044C6" w:rsidRPr="0049325F">
              <w:rPr>
                <w:lang w:val="en-US"/>
              </w:rPr>
              <w:t>the bank institutions whose major shareholder is of public capital (public enterprises, state-owned companies, societies whose major sha</w:t>
            </w:r>
            <w:r w:rsidR="0049325F" w:rsidRPr="0049325F">
              <w:rPr>
                <w:lang w:val="en-US"/>
              </w:rPr>
              <w:t>re</w:t>
            </w:r>
            <w:r w:rsidR="006044C6" w:rsidRPr="0049325F">
              <w:rPr>
                <w:lang w:val="en-US"/>
              </w:rPr>
              <w:t xml:space="preserve">holder is of public capital, as well as </w:t>
            </w:r>
            <w:r w:rsidR="0049325F" w:rsidRPr="0049325F">
              <w:rPr>
                <w:lang w:val="en-US"/>
              </w:rPr>
              <w:t>concessionary compani</w:t>
            </w:r>
            <w:bookmarkStart w:id="18" w:name="_GoBack"/>
            <w:bookmarkEnd w:id="18"/>
            <w:r w:rsidR="0049325F" w:rsidRPr="0049325F">
              <w:rPr>
                <w:lang w:val="en-US"/>
              </w:rPr>
              <w:t>es</w:t>
            </w:r>
            <w:r w:rsidR="006044C6" w:rsidRPr="0049325F">
              <w:rPr>
                <w:lang w:val="en-US"/>
              </w:rPr>
              <w:t xml:space="preserve"> </w:t>
            </w:r>
            <w:r w:rsidR="0049325F" w:rsidRPr="0049325F">
              <w:rPr>
                <w:lang w:val="en-US"/>
              </w:rPr>
              <w:t>of</w:t>
            </w:r>
            <w:r w:rsidR="006044C6" w:rsidRPr="0049325F">
              <w:rPr>
                <w:lang w:val="en-US"/>
              </w:rPr>
              <w:t xml:space="preserve"> public domain goods</w:t>
            </w:r>
            <w:r w:rsidR="004D0BDA" w:rsidRPr="0049325F">
              <w:rPr>
                <w:lang w:val="en-US"/>
              </w:rPr>
              <w:t>); “</w:t>
            </w:r>
            <w:r w:rsidR="0049325F" w:rsidRPr="0049325F">
              <w:rPr>
                <w:lang w:val="en-US"/>
              </w:rPr>
              <w:t>National Private Bank</w:t>
            </w:r>
            <w:r w:rsidR="004D0BDA" w:rsidRPr="0049325F">
              <w:rPr>
                <w:lang w:val="en-US"/>
              </w:rPr>
              <w:t xml:space="preserve">” </w:t>
            </w:r>
            <w:r w:rsidR="0049325F" w:rsidRPr="0049325F">
              <w:rPr>
                <w:lang w:val="en-US"/>
              </w:rPr>
              <w:t>whose major shareholder is of private Angolan capital</w:t>
            </w:r>
            <w:r w:rsidR="004D0BDA" w:rsidRPr="0049325F">
              <w:rPr>
                <w:lang w:val="en-US"/>
              </w:rPr>
              <w:t>; “</w:t>
            </w:r>
            <w:r w:rsidR="0049325F" w:rsidRPr="0049325F">
              <w:rPr>
                <w:lang w:val="en-US"/>
              </w:rPr>
              <w:t xml:space="preserve">Foreign Bank </w:t>
            </w:r>
            <w:r w:rsidR="00791430">
              <w:rPr>
                <w:lang w:val="en-US"/>
              </w:rPr>
              <w:t>Subsidiary</w:t>
            </w:r>
            <w:r w:rsidR="004D0BDA" w:rsidRPr="0049325F">
              <w:rPr>
                <w:lang w:val="en-US"/>
              </w:rPr>
              <w:t xml:space="preserve">” </w:t>
            </w:r>
            <w:r w:rsidR="0049325F" w:rsidRPr="0049325F">
              <w:rPr>
                <w:lang w:val="en-US"/>
              </w:rPr>
              <w:t>w</w:t>
            </w:r>
            <w:r w:rsidR="0049325F">
              <w:rPr>
                <w:lang w:val="en-US"/>
              </w:rPr>
              <w:t xml:space="preserve">hose major shareholder is a foreign bank institution, or the parent company is a foreign bank institution, and by nature of the holding, it makes the bank established in </w:t>
            </w:r>
            <w:r>
              <w:rPr>
                <w:lang w:val="en-US"/>
              </w:rPr>
              <w:t>A</w:t>
            </w:r>
            <w:r w:rsidR="0049325F">
              <w:rPr>
                <w:lang w:val="en-US"/>
              </w:rPr>
              <w:t>ngola a subsidiary of the foreign bank institution.</w:t>
            </w:r>
          </w:p>
        </w:tc>
      </w:tr>
      <w:tr w:rsidR="004D0BDA" w:rsidRPr="00634713" w:rsidTr="00027F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4D0BDA" w:rsidRPr="004243E5" w:rsidRDefault="004D0BDA" w:rsidP="004243E5">
            <w:pPr>
              <w:spacing w:before="240" w:after="240"/>
              <w:contextualSpacing/>
              <w:jc w:val="left"/>
              <w:rPr>
                <w:b/>
                <w:lang w:val="en-US"/>
              </w:rPr>
            </w:pPr>
            <w:r w:rsidRPr="004243E5">
              <w:rPr>
                <w:rStyle w:val="Forte"/>
                <w:lang w:val="en-US"/>
              </w:rPr>
              <w:lastRenderedPageBreak/>
              <w:t>Classifica</w:t>
            </w:r>
            <w:r w:rsidR="004243E5" w:rsidRPr="004243E5">
              <w:rPr>
                <w:rStyle w:val="Forte"/>
                <w:lang w:val="en-US"/>
              </w:rPr>
              <w:t>tion of</w:t>
            </w:r>
            <w:r w:rsidRPr="004243E5">
              <w:rPr>
                <w:rStyle w:val="Forte"/>
                <w:lang w:val="en-US"/>
              </w:rPr>
              <w:t xml:space="preserve"> Segments </w:t>
            </w:r>
            <w:r w:rsidR="004243E5" w:rsidRPr="004243E5">
              <w:rPr>
                <w:rStyle w:val="Forte"/>
                <w:lang w:val="en-US"/>
              </w:rPr>
              <w:t>by</w:t>
            </w:r>
            <w:r w:rsidRPr="004243E5">
              <w:rPr>
                <w:rStyle w:val="Forte"/>
                <w:lang w:val="en-US"/>
              </w:rPr>
              <w:t xml:space="preserve"> Dimens</w:t>
            </w:r>
            <w:r w:rsidR="004243E5" w:rsidRPr="004243E5">
              <w:rPr>
                <w:rStyle w:val="Forte"/>
                <w:lang w:val="en-US"/>
              </w:rPr>
              <w:t>io</w:t>
            </w:r>
            <w:r w:rsidR="004243E5">
              <w:rPr>
                <w:rStyle w:val="Forte"/>
                <w:lang w:val="en-US"/>
              </w:rPr>
              <w:t>n</w:t>
            </w:r>
          </w:p>
        </w:tc>
        <w:tc>
          <w:tcPr>
            <w:tcW w:w="3538" w:type="pct"/>
          </w:tcPr>
          <w:p w:rsidR="004D0BDA" w:rsidRPr="004243E5" w:rsidRDefault="004243E5" w:rsidP="004243E5">
            <w:pPr>
              <w:spacing w:before="240"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243E5">
              <w:rPr>
                <w:lang w:val="en-US"/>
              </w:rPr>
              <w:t xml:space="preserve">It is classified as </w:t>
            </w:r>
            <w:r w:rsidR="004D0BDA" w:rsidRPr="004243E5">
              <w:rPr>
                <w:lang w:val="en-US"/>
              </w:rPr>
              <w:t>“</w:t>
            </w:r>
            <w:r w:rsidRPr="004243E5">
              <w:rPr>
                <w:lang w:val="en-US"/>
              </w:rPr>
              <w:t>Large</w:t>
            </w:r>
            <w:r w:rsidR="004D0BDA" w:rsidRPr="004243E5">
              <w:rPr>
                <w:lang w:val="en-US"/>
              </w:rPr>
              <w:t xml:space="preserve">” </w:t>
            </w:r>
            <w:r w:rsidRPr="004243E5">
              <w:rPr>
                <w:lang w:val="en-US"/>
              </w:rPr>
              <w:t>the institutio</w:t>
            </w:r>
            <w:r>
              <w:rPr>
                <w:lang w:val="en-US"/>
              </w:rPr>
              <w:t>ns</w:t>
            </w:r>
            <w:r w:rsidRPr="004243E5">
              <w:rPr>
                <w:lang w:val="en-US"/>
              </w:rPr>
              <w:t xml:space="preserve"> that represent 10% </w:t>
            </w:r>
            <w:r>
              <w:rPr>
                <w:lang w:val="en-US"/>
              </w:rPr>
              <w:t xml:space="preserve">inclusive </w:t>
            </w:r>
            <w:r w:rsidRPr="004243E5">
              <w:rPr>
                <w:lang w:val="en-US"/>
              </w:rPr>
              <w:t xml:space="preserve">or more of the aggregate assets; </w:t>
            </w:r>
            <w:r w:rsidR="004D0BDA" w:rsidRPr="004243E5">
              <w:rPr>
                <w:lang w:val="en-US"/>
              </w:rPr>
              <w:t>“M</w:t>
            </w:r>
            <w:r w:rsidRPr="004243E5">
              <w:rPr>
                <w:lang w:val="en-US"/>
              </w:rPr>
              <w:t>e</w:t>
            </w:r>
            <w:r>
              <w:rPr>
                <w:lang w:val="en-US"/>
              </w:rPr>
              <w:t>dium-sized</w:t>
            </w:r>
            <w:r w:rsidR="004D0BDA" w:rsidRPr="004243E5">
              <w:rPr>
                <w:lang w:val="en-US"/>
              </w:rPr>
              <w:t xml:space="preserve">” </w:t>
            </w:r>
            <w:r>
              <w:rPr>
                <w:lang w:val="en-US"/>
              </w:rPr>
              <w:t xml:space="preserve">the institutions that represent between </w:t>
            </w:r>
            <w:r w:rsidR="004D0BDA" w:rsidRPr="004243E5">
              <w:rPr>
                <w:lang w:val="en-US"/>
              </w:rPr>
              <w:t xml:space="preserve">1% </w:t>
            </w:r>
            <w:r>
              <w:rPr>
                <w:lang w:val="en-US"/>
              </w:rPr>
              <w:t>and</w:t>
            </w:r>
            <w:r w:rsidR="004D0BDA" w:rsidRPr="004243E5">
              <w:rPr>
                <w:lang w:val="en-US"/>
              </w:rPr>
              <w:t xml:space="preserve"> 10%; “</w:t>
            </w:r>
            <w:r>
              <w:rPr>
                <w:lang w:val="en-US"/>
              </w:rPr>
              <w:t>Small</w:t>
            </w:r>
            <w:r w:rsidR="004D0BDA" w:rsidRPr="004243E5">
              <w:rPr>
                <w:lang w:val="en-US"/>
              </w:rPr>
              <w:t xml:space="preserve">” </w:t>
            </w:r>
            <w:r>
              <w:rPr>
                <w:lang w:val="en-US"/>
              </w:rPr>
              <w:t>the institutions that represent 1% inclusive or less of the aggregated assets.</w:t>
            </w:r>
          </w:p>
        </w:tc>
      </w:tr>
      <w:tr w:rsidR="00791430" w:rsidRPr="004D0BDA" w:rsidTr="006F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791430" w:rsidRPr="00A5728C" w:rsidRDefault="00791430" w:rsidP="006F0876">
            <w:pPr>
              <w:spacing w:before="240" w:after="240"/>
              <w:contextualSpacing/>
              <w:jc w:val="left"/>
              <w:rPr>
                <w:b/>
                <w:lang w:val="en-US"/>
              </w:rPr>
            </w:pPr>
            <w:r w:rsidRPr="00A5728C">
              <w:rPr>
                <w:b/>
                <w:lang w:val="en-US"/>
              </w:rPr>
              <w:t>Composed Annual Growth Rate (CAGR)</w:t>
            </w:r>
          </w:p>
        </w:tc>
        <w:tc>
          <w:tcPr>
            <w:tcW w:w="3538" w:type="pct"/>
          </w:tcPr>
          <w:p w:rsidR="00791430" w:rsidRPr="004D0BDA" w:rsidRDefault="00791430" w:rsidP="006F0876">
            <w:pPr>
              <w:spacing w:before="240"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CAGR=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</w:rPr>
                                  <m:t>Value in the End of the Period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</w:rPr>
                                  <m:t>Value in the Beginning of the Period</m:t>
                                </m:r>
                              </m:den>
                            </m:f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Number of Years</m:t>
                            </m:r>
                          </m:den>
                        </m:f>
                      </m:sup>
                    </m:sSup>
                  </m:e>
                </m:d>
                <m:r>
                  <w:rPr>
                    <w:rFonts w:ascii="Cambria Math" w:eastAsia="Times New Roman" w:hAnsi="Cambria Math" w:cs="Times New Roman"/>
                  </w:rPr>
                  <m:t>-1</m:t>
                </m:r>
              </m:oMath>
            </m:oMathPara>
          </w:p>
        </w:tc>
      </w:tr>
      <w:tr w:rsidR="00791430" w:rsidRPr="004D0BDA" w:rsidTr="006F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791430" w:rsidRPr="004D0BDA" w:rsidRDefault="00791430" w:rsidP="006F0876">
            <w:pPr>
              <w:spacing w:before="240" w:after="240"/>
              <w:contextualSpacing/>
              <w:jc w:val="left"/>
              <w:rPr>
                <w:b/>
              </w:rPr>
            </w:pPr>
            <w:r w:rsidRPr="004D0BDA">
              <w:rPr>
                <w:b/>
                <w:lang w:val="en-US"/>
              </w:rPr>
              <w:t>Cost-to-Income</w:t>
            </w:r>
          </w:p>
        </w:tc>
        <w:tc>
          <w:tcPr>
            <w:tcW w:w="3538" w:type="pct"/>
          </w:tcPr>
          <w:p w:rsidR="00791430" w:rsidRPr="004D0BDA" w:rsidRDefault="00791430" w:rsidP="006F0876">
            <w:pPr>
              <w:spacing w:before="240"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Cost-to-Income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Operating Expenses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Operating Income</m:t>
                    </m:r>
                  </m:den>
                </m:f>
              </m:oMath>
            </m:oMathPara>
          </w:p>
        </w:tc>
      </w:tr>
      <w:tr w:rsidR="00791430" w:rsidRPr="00634713" w:rsidTr="006F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791430" w:rsidRPr="006513B1" w:rsidRDefault="00791430" w:rsidP="006F0876">
            <w:pPr>
              <w:spacing w:before="240" w:after="240"/>
              <w:contextualSpacing/>
              <w:jc w:val="left"/>
              <w:rPr>
                <w:b/>
                <w:bCs/>
                <w:lang w:val="en-US"/>
              </w:rPr>
            </w:pPr>
            <w:r w:rsidRPr="006513B1">
              <w:rPr>
                <w:rStyle w:val="Forte"/>
                <w:lang w:val="en-US"/>
              </w:rPr>
              <w:t>Degree of Openness of the Economy</w:t>
            </w:r>
          </w:p>
        </w:tc>
        <w:tc>
          <w:tcPr>
            <w:tcW w:w="3538" w:type="pct"/>
          </w:tcPr>
          <w:p w:rsidR="00791430" w:rsidRPr="004D0BDA" w:rsidRDefault="00791430" w:rsidP="006F0876">
            <w:pPr>
              <w:spacing w:before="240"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 xml:space="preserve">Degree of Openness of the Economy=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Exports+Imports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Nominal GDP</m:t>
                    </m:r>
                  </m:den>
                </m:f>
              </m:oMath>
            </m:oMathPara>
          </w:p>
          <w:p w:rsidR="00791430" w:rsidRPr="006513B1" w:rsidRDefault="00791430" w:rsidP="006F0876">
            <w:pPr>
              <w:spacing w:before="240"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513B1">
              <w:rPr>
                <w:lang w:val="en-US"/>
              </w:rPr>
              <w:t>According to World Bank, a country is considered co</w:t>
            </w:r>
            <w:r>
              <w:rPr>
                <w:lang w:val="en-US"/>
              </w:rPr>
              <w:t>m</w:t>
            </w:r>
            <w:r w:rsidRPr="006513B1">
              <w:rPr>
                <w:lang w:val="en-US"/>
              </w:rPr>
              <w:t xml:space="preserve">mercially open when it </w:t>
            </w:r>
            <w:r>
              <w:rPr>
                <w:lang w:val="en-US"/>
              </w:rPr>
              <w:t xml:space="preserve">reaches a degree of openness of </w:t>
            </w:r>
            <w:r w:rsidRPr="006513B1">
              <w:rPr>
                <w:lang w:val="en-US"/>
              </w:rPr>
              <w:t>30</w:t>
            </w:r>
            <w:r>
              <w:rPr>
                <w:lang w:val="en-US"/>
              </w:rPr>
              <w:t>%.</w:t>
            </w:r>
          </w:p>
        </w:tc>
      </w:tr>
      <w:tr w:rsidR="00791430" w:rsidRPr="004D0BDA" w:rsidTr="006F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791430" w:rsidRPr="004D0BDA" w:rsidRDefault="00791430" w:rsidP="006F0876">
            <w:pPr>
              <w:spacing w:before="240" w:after="240"/>
              <w:contextualSpacing/>
              <w:jc w:val="left"/>
              <w:rPr>
                <w:b/>
              </w:rPr>
            </w:pPr>
            <w:proofErr w:type="spellStart"/>
            <w:r>
              <w:rPr>
                <w:b/>
              </w:rPr>
              <w:t>Deposits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Loan</w:t>
            </w:r>
            <w:proofErr w:type="spellEnd"/>
          </w:p>
        </w:tc>
        <w:tc>
          <w:tcPr>
            <w:tcW w:w="3538" w:type="pct"/>
          </w:tcPr>
          <w:p w:rsidR="00791430" w:rsidRPr="004D0BDA" w:rsidRDefault="00791430" w:rsidP="006F0876">
            <w:pPr>
              <w:spacing w:before="240"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Deposits to Loan 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Total Loans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Total Deposits</m:t>
                    </m:r>
                  </m:den>
                </m:f>
              </m:oMath>
            </m:oMathPara>
          </w:p>
        </w:tc>
      </w:tr>
      <w:tr w:rsidR="00791430" w:rsidRPr="00634713" w:rsidTr="006F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791430" w:rsidRPr="004D0BDA" w:rsidRDefault="00791430" w:rsidP="006F0876">
            <w:pPr>
              <w:spacing w:before="240" w:after="240"/>
              <w:contextualSpacing/>
              <w:jc w:val="left"/>
              <w:rPr>
                <w:b/>
                <w:bCs/>
              </w:rPr>
            </w:pPr>
            <w:proofErr w:type="spellStart"/>
            <w:r w:rsidRPr="004D0BDA">
              <w:rPr>
                <w:rStyle w:val="Forte"/>
              </w:rPr>
              <w:t>Econom</w:t>
            </w:r>
            <w:r>
              <w:rPr>
                <w:rStyle w:val="Forte"/>
              </w:rPr>
              <w:t>y</w:t>
            </w:r>
            <w:proofErr w:type="spellEnd"/>
          </w:p>
        </w:tc>
        <w:tc>
          <w:tcPr>
            <w:tcW w:w="3538" w:type="pct"/>
          </w:tcPr>
          <w:p w:rsidR="00791430" w:rsidRPr="004243E5" w:rsidRDefault="00791430" w:rsidP="006F0876">
            <w:pPr>
              <w:spacing w:before="240"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43E5">
              <w:rPr>
                <w:lang w:val="en-US"/>
              </w:rPr>
              <w:t>Science that deals with the production and consumption of goods and s</w:t>
            </w:r>
            <w:r>
              <w:rPr>
                <w:lang w:val="en-US"/>
              </w:rPr>
              <w:t>ervices, the circulation of wealth and income redistribution.</w:t>
            </w:r>
          </w:p>
        </w:tc>
      </w:tr>
      <w:tr w:rsidR="00791430" w:rsidRPr="004D0BDA" w:rsidTr="006F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791430" w:rsidRPr="004D0BDA" w:rsidRDefault="00791430" w:rsidP="006F0876">
            <w:pPr>
              <w:spacing w:before="240" w:after="240"/>
              <w:contextualSpacing/>
              <w:jc w:val="left"/>
              <w:rPr>
                <w:b/>
              </w:rPr>
            </w:pPr>
            <w:proofErr w:type="spellStart"/>
            <w:r w:rsidRPr="00271E0C">
              <w:rPr>
                <w:b/>
              </w:rPr>
              <w:t>Finance</w:t>
            </w:r>
            <w:proofErr w:type="spellEnd"/>
            <w:r w:rsidRPr="00271E0C">
              <w:rPr>
                <w:b/>
              </w:rPr>
              <w:t xml:space="preserve"> </w:t>
            </w:r>
            <w:proofErr w:type="spellStart"/>
            <w:r w:rsidRPr="00271E0C">
              <w:rPr>
                <w:b/>
              </w:rPr>
              <w:t>of</w:t>
            </w:r>
            <w:proofErr w:type="spellEnd"/>
            <w:r w:rsidRPr="00271E0C">
              <w:rPr>
                <w:b/>
              </w:rPr>
              <w:t xml:space="preserve"> Financial </w:t>
            </w:r>
            <w:proofErr w:type="spellStart"/>
            <w:r w:rsidRPr="00271E0C">
              <w:rPr>
                <w:b/>
              </w:rPr>
              <w:t>Assets</w:t>
            </w:r>
            <w:proofErr w:type="spellEnd"/>
          </w:p>
        </w:tc>
        <w:tc>
          <w:tcPr>
            <w:tcW w:w="3538" w:type="pct"/>
          </w:tcPr>
          <w:p w:rsidR="00791430" w:rsidRPr="004D0BDA" w:rsidRDefault="00791430" w:rsidP="006F0876">
            <w:pPr>
              <w:spacing w:before="240"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Finance of Financial Assets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Financial Liabilities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Total Assets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</w:tr>
      <w:tr w:rsidR="00791430" w:rsidRPr="004D0BDA" w:rsidTr="006F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791430" w:rsidRPr="004D0BDA" w:rsidRDefault="00791430" w:rsidP="006F0876">
            <w:pPr>
              <w:spacing w:before="240" w:after="240"/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Financial </w:t>
            </w:r>
            <w:proofErr w:type="spellStart"/>
            <w:r>
              <w:rPr>
                <w:b/>
              </w:rPr>
              <w:t>Liabilities</w:t>
            </w:r>
            <w:proofErr w:type="spellEnd"/>
          </w:p>
        </w:tc>
        <w:tc>
          <w:tcPr>
            <w:tcW w:w="3538" w:type="pct"/>
          </w:tcPr>
          <w:p w:rsidR="00791430" w:rsidRPr="004D0BDA" w:rsidRDefault="00791430" w:rsidP="006F0876">
            <w:pPr>
              <w:spacing w:before="240"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Financial Liabilit</m:t>
                </m:r>
                <m:r>
                  <w:rPr>
                    <w:rFonts w:ascii="Cambria Math" w:hAnsi="Cambria Math"/>
                  </w:rPr>
                  <m:t>ies= Total Liabilities – (Advances from Customers + Other Liabilities + Provisions for Probable Liabilities)</m:t>
                </m:r>
              </m:oMath>
            </m:oMathPara>
          </w:p>
        </w:tc>
      </w:tr>
      <w:tr w:rsidR="00791430" w:rsidRPr="00634713" w:rsidTr="006F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791430" w:rsidRPr="004D0BDA" w:rsidRDefault="00791430" w:rsidP="006F0876">
            <w:pPr>
              <w:spacing w:before="240" w:after="240"/>
              <w:contextualSpacing/>
              <w:jc w:val="left"/>
              <w:rPr>
                <w:b/>
              </w:rPr>
            </w:pPr>
            <w:proofErr w:type="spellStart"/>
            <w:r>
              <w:rPr>
                <w:b/>
              </w:rPr>
              <w:t>Foreign</w:t>
            </w:r>
            <w:proofErr w:type="spellEnd"/>
            <w:r>
              <w:rPr>
                <w:b/>
              </w:rPr>
              <w:t xml:space="preserve"> Exchange Non-</w:t>
            </w:r>
            <w:proofErr w:type="spellStart"/>
            <w:r>
              <w:rPr>
                <w:b/>
              </w:rPr>
              <w:lastRenderedPageBreak/>
              <w:t>Resident</w:t>
            </w:r>
            <w:proofErr w:type="spellEnd"/>
          </w:p>
        </w:tc>
        <w:tc>
          <w:tcPr>
            <w:tcW w:w="3538" w:type="pct"/>
          </w:tcPr>
          <w:p w:rsidR="00791430" w:rsidRDefault="00791430" w:rsidP="006F087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BF0FAA">
              <w:rPr>
                <w:rFonts w:eastAsia="Times New Roman" w:cs="Times New Roman"/>
                <w:lang w:val="en-US"/>
              </w:rPr>
              <w:lastRenderedPageBreak/>
              <w:t xml:space="preserve">According to Exchange Law, Law no. 5/97 of June 27, a person </w:t>
            </w:r>
            <w:r w:rsidRPr="00BF0FAA">
              <w:rPr>
                <w:rFonts w:eastAsia="Times New Roman" w:cs="Times New Roman"/>
                <w:lang w:val="en-US"/>
              </w:rPr>
              <w:lastRenderedPageBreak/>
              <w:t xml:space="preserve">is considered a foreign </w:t>
            </w:r>
            <w:r>
              <w:rPr>
                <w:rFonts w:eastAsia="Times New Roman" w:cs="Times New Roman"/>
                <w:lang w:val="en-US"/>
              </w:rPr>
              <w:t>e</w:t>
            </w:r>
            <w:r w:rsidRPr="00BF0FAA">
              <w:rPr>
                <w:rFonts w:eastAsia="Times New Roman" w:cs="Times New Roman"/>
                <w:lang w:val="en-US"/>
              </w:rPr>
              <w:t xml:space="preserve">xchange </w:t>
            </w:r>
            <w:r>
              <w:rPr>
                <w:rFonts w:eastAsia="Times New Roman" w:cs="Times New Roman"/>
                <w:lang w:val="en-US"/>
              </w:rPr>
              <w:t>non-</w:t>
            </w:r>
            <w:r w:rsidRPr="00BF0FAA">
              <w:rPr>
                <w:rFonts w:eastAsia="Times New Roman" w:cs="Times New Roman"/>
                <w:lang w:val="en-US"/>
              </w:rPr>
              <w:t>resident in the following conditions:</w:t>
            </w:r>
          </w:p>
          <w:p w:rsidR="00791430" w:rsidRPr="00BF0FAA" w:rsidRDefault="00791430" w:rsidP="006F0876">
            <w:pPr>
              <w:pStyle w:val="PargrafodaLista"/>
              <w:numPr>
                <w:ilvl w:val="0"/>
                <w:numId w:val="3"/>
              </w:numPr>
              <w:spacing w:before="240" w:after="240"/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Natural persons with u</w:t>
            </w:r>
            <w:r w:rsidRPr="00BF0FAA">
              <w:rPr>
                <w:rFonts w:eastAsia="Times New Roman" w:cs="Times New Roman"/>
                <w:lang w:val="en-US"/>
              </w:rPr>
              <w:t xml:space="preserve">sual residence </w:t>
            </w:r>
            <w:r>
              <w:rPr>
                <w:rFonts w:eastAsia="Times New Roman" w:cs="Times New Roman"/>
                <w:lang w:val="en-US"/>
              </w:rPr>
              <w:t xml:space="preserve">outside </w:t>
            </w:r>
            <w:r w:rsidRPr="00BF0FAA">
              <w:rPr>
                <w:rFonts w:eastAsia="Times New Roman" w:cs="Times New Roman"/>
                <w:lang w:val="en-US"/>
              </w:rPr>
              <w:t>Angola;</w:t>
            </w:r>
          </w:p>
          <w:p w:rsidR="00791430" w:rsidRDefault="00791430" w:rsidP="006F0876">
            <w:pPr>
              <w:pStyle w:val="PargrafodaLista"/>
              <w:numPr>
                <w:ilvl w:val="0"/>
                <w:numId w:val="3"/>
              </w:numPr>
              <w:spacing w:before="240" w:after="240"/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A45A1B">
              <w:rPr>
                <w:rFonts w:eastAsia="Times New Roman" w:cs="Times New Roman"/>
                <w:lang w:val="en-US"/>
              </w:rPr>
              <w:t>Legal persons established outside Angola;</w:t>
            </w:r>
          </w:p>
          <w:p w:rsidR="00791430" w:rsidRPr="00A45A1B" w:rsidRDefault="00791430" w:rsidP="006F0876">
            <w:pPr>
              <w:pStyle w:val="PargrafodaLista"/>
              <w:numPr>
                <w:ilvl w:val="0"/>
                <w:numId w:val="3"/>
              </w:numPr>
              <w:spacing w:before="240" w:after="240"/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Emigrants</w:t>
            </w:r>
          </w:p>
          <w:p w:rsidR="00791430" w:rsidRDefault="00791430" w:rsidP="006F0876">
            <w:pPr>
              <w:pStyle w:val="PargrafodaLista"/>
              <w:numPr>
                <w:ilvl w:val="0"/>
                <w:numId w:val="3"/>
              </w:numPr>
              <w:spacing w:before="240" w:after="240"/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BF0FAA">
              <w:rPr>
                <w:rFonts w:eastAsia="Times New Roman" w:cs="Times New Roman"/>
                <w:lang w:val="en-US"/>
              </w:rPr>
              <w:t>The branches</w:t>
            </w:r>
            <w:r>
              <w:rPr>
                <w:rFonts w:eastAsia="Times New Roman" w:cs="Times New Roman"/>
                <w:lang w:val="en-US"/>
              </w:rPr>
              <w:t xml:space="preserve"> offices, subsidiaries, a</w:t>
            </w:r>
            <w:r w:rsidRPr="00BF0FAA">
              <w:rPr>
                <w:rFonts w:eastAsia="Times New Roman" w:cs="Times New Roman"/>
                <w:lang w:val="en-US"/>
              </w:rPr>
              <w:t>gencies or any form of representation</w:t>
            </w:r>
            <w:r w:rsidRPr="004D0BDA">
              <w:rPr>
                <w:rStyle w:val="Refdenotaderodap"/>
                <w:rFonts w:eastAsia="Times New Roman" w:cs="Times New Roman"/>
              </w:rPr>
              <w:footnoteReference w:id="3"/>
            </w:r>
            <w:r w:rsidRPr="00BF0FAA"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rFonts w:eastAsia="Times New Roman" w:cs="Times New Roman"/>
                <w:lang w:val="en-US"/>
              </w:rPr>
              <w:t xml:space="preserve">abroad </w:t>
            </w:r>
            <w:r w:rsidRPr="00BF0FAA">
              <w:rPr>
                <w:rFonts w:eastAsia="Times New Roman" w:cs="Times New Roman"/>
                <w:lang w:val="en-US"/>
              </w:rPr>
              <w:t xml:space="preserve">of </w:t>
            </w:r>
            <w:r>
              <w:rPr>
                <w:rFonts w:eastAsia="Times New Roman" w:cs="Times New Roman"/>
                <w:lang w:val="en-US"/>
              </w:rPr>
              <w:t>legal persons established in Angola</w:t>
            </w:r>
            <w:r w:rsidRPr="00BF0FAA">
              <w:rPr>
                <w:rFonts w:eastAsia="Times New Roman" w:cs="Times New Roman"/>
                <w:lang w:val="en-US"/>
              </w:rPr>
              <w:t>;</w:t>
            </w:r>
          </w:p>
          <w:p w:rsidR="00791430" w:rsidRPr="00BF0FAA" w:rsidRDefault="00791430" w:rsidP="006F0876">
            <w:pPr>
              <w:pStyle w:val="PargrafodaLista"/>
              <w:numPr>
                <w:ilvl w:val="0"/>
                <w:numId w:val="3"/>
              </w:numPr>
              <w:spacing w:before="240" w:after="240"/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BF0FAA">
              <w:rPr>
                <w:rFonts w:eastAsia="Times New Roman" w:cs="Times New Roman"/>
                <w:lang w:val="en-US"/>
              </w:rPr>
              <w:t>Funds, institutes, public bodies with administrative and financial autonomy, established in national territory;</w:t>
            </w:r>
          </w:p>
          <w:p w:rsidR="00791430" w:rsidRPr="00BF0FAA" w:rsidRDefault="00791430" w:rsidP="006F0876">
            <w:pPr>
              <w:pStyle w:val="PargrafodaLista"/>
              <w:numPr>
                <w:ilvl w:val="0"/>
                <w:numId w:val="3"/>
              </w:numPr>
              <w:spacing w:before="240" w:after="240"/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BF0FAA">
              <w:rPr>
                <w:rFonts w:eastAsia="Times New Roman" w:cs="Times New Roman"/>
                <w:lang w:val="en-US"/>
              </w:rPr>
              <w:t>National diplomats, consular representatives or similar an</w:t>
            </w:r>
            <w:r>
              <w:rPr>
                <w:rFonts w:eastAsia="Times New Roman" w:cs="Times New Roman"/>
                <w:lang w:val="en-US"/>
              </w:rPr>
              <w:t>d</w:t>
            </w:r>
            <w:r w:rsidRPr="00BF0FAA">
              <w:rPr>
                <w:rFonts w:eastAsia="Times New Roman" w:cs="Times New Roman"/>
                <w:lang w:val="en-US"/>
              </w:rPr>
              <w:t xml:space="preserve"> respective relatives, carrying out duties </w:t>
            </w:r>
            <w:r>
              <w:rPr>
                <w:rFonts w:eastAsia="Times New Roman" w:cs="Times New Roman"/>
                <w:lang w:val="en-US"/>
              </w:rPr>
              <w:t>in Angola</w:t>
            </w:r>
            <w:r w:rsidRPr="00BF0FAA">
              <w:rPr>
                <w:rFonts w:eastAsia="Times New Roman" w:cs="Times New Roman"/>
                <w:lang w:val="en-US"/>
              </w:rPr>
              <w:t>;</w:t>
            </w:r>
          </w:p>
          <w:p w:rsidR="00791430" w:rsidRPr="00A45A1B" w:rsidRDefault="00791430" w:rsidP="006F0876">
            <w:pPr>
              <w:pStyle w:val="PargrafodaLista"/>
              <w:numPr>
                <w:ilvl w:val="0"/>
                <w:numId w:val="3"/>
              </w:numPr>
              <w:spacing w:before="240" w:after="240"/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BF0FAA">
              <w:rPr>
                <w:rFonts w:eastAsia="Times New Roman" w:cs="Times New Roman"/>
                <w:lang w:val="en-US"/>
              </w:rPr>
              <w:t xml:space="preserve">National citizens who are absent from Angola for more than </w:t>
            </w:r>
            <w:r>
              <w:rPr>
                <w:rFonts w:eastAsia="Times New Roman" w:cs="Times New Roman"/>
                <w:lang w:val="en-US"/>
              </w:rPr>
              <w:t>1 year.</w:t>
            </w:r>
          </w:p>
        </w:tc>
      </w:tr>
      <w:tr w:rsidR="00791430" w:rsidRPr="00634713" w:rsidTr="006F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791430" w:rsidRPr="004D0BDA" w:rsidRDefault="00791430" w:rsidP="006F0876">
            <w:pPr>
              <w:spacing w:before="240" w:after="240"/>
              <w:contextualSpacing/>
              <w:jc w:val="left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Foreign</w:t>
            </w:r>
            <w:proofErr w:type="spellEnd"/>
            <w:r>
              <w:rPr>
                <w:b/>
              </w:rPr>
              <w:t xml:space="preserve"> Exchange </w:t>
            </w:r>
            <w:proofErr w:type="spellStart"/>
            <w:r>
              <w:rPr>
                <w:b/>
              </w:rPr>
              <w:t>Resident</w:t>
            </w:r>
            <w:proofErr w:type="spellEnd"/>
          </w:p>
        </w:tc>
        <w:tc>
          <w:tcPr>
            <w:tcW w:w="3538" w:type="pct"/>
          </w:tcPr>
          <w:p w:rsidR="00791430" w:rsidRDefault="00791430" w:rsidP="006F08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BF0FAA">
              <w:rPr>
                <w:rFonts w:eastAsia="Times New Roman" w:cs="Times New Roman"/>
                <w:lang w:val="en-US"/>
              </w:rPr>
              <w:t xml:space="preserve">According to Exchange Law, Law no. 5/97 of June 27, a person is considered a foreign </w:t>
            </w:r>
            <w:r>
              <w:rPr>
                <w:rFonts w:eastAsia="Times New Roman" w:cs="Times New Roman"/>
                <w:lang w:val="en-US"/>
              </w:rPr>
              <w:t>e</w:t>
            </w:r>
            <w:r w:rsidRPr="00BF0FAA">
              <w:rPr>
                <w:rFonts w:eastAsia="Times New Roman" w:cs="Times New Roman"/>
                <w:lang w:val="en-US"/>
              </w:rPr>
              <w:t>xchange resident in the following conditions:</w:t>
            </w:r>
          </w:p>
          <w:p w:rsidR="00791430" w:rsidRPr="00BF0FAA" w:rsidRDefault="00791430" w:rsidP="006F0876">
            <w:pPr>
              <w:pStyle w:val="PargrafodaLista"/>
              <w:numPr>
                <w:ilvl w:val="0"/>
                <w:numId w:val="3"/>
              </w:numPr>
              <w:spacing w:before="240" w:after="240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Natural persons with u</w:t>
            </w:r>
            <w:r w:rsidRPr="00BF0FAA">
              <w:rPr>
                <w:rFonts w:eastAsia="Times New Roman" w:cs="Times New Roman"/>
                <w:lang w:val="en-US"/>
              </w:rPr>
              <w:t>sual residence in Angola;</w:t>
            </w:r>
          </w:p>
          <w:p w:rsidR="00791430" w:rsidRPr="00A45A1B" w:rsidRDefault="00791430" w:rsidP="006F0876">
            <w:pPr>
              <w:pStyle w:val="PargrafodaLista"/>
              <w:numPr>
                <w:ilvl w:val="0"/>
                <w:numId w:val="3"/>
              </w:numPr>
              <w:spacing w:before="240" w:after="240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Legal persons established in Angola</w:t>
            </w:r>
            <w:r w:rsidRPr="00A45A1B">
              <w:rPr>
                <w:rFonts w:eastAsia="Times New Roman" w:cs="Times New Roman"/>
                <w:lang w:val="en-US"/>
              </w:rPr>
              <w:t>;</w:t>
            </w:r>
          </w:p>
          <w:p w:rsidR="00791430" w:rsidRDefault="00791430" w:rsidP="006F0876">
            <w:pPr>
              <w:pStyle w:val="PargrafodaLista"/>
              <w:numPr>
                <w:ilvl w:val="0"/>
                <w:numId w:val="3"/>
              </w:numPr>
              <w:spacing w:before="240" w:after="240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BF0FAA">
              <w:rPr>
                <w:rFonts w:eastAsia="Times New Roman" w:cs="Times New Roman"/>
                <w:lang w:val="en-US"/>
              </w:rPr>
              <w:t>The branches</w:t>
            </w:r>
            <w:r>
              <w:rPr>
                <w:rFonts w:eastAsia="Times New Roman" w:cs="Times New Roman"/>
                <w:lang w:val="en-US"/>
              </w:rPr>
              <w:t xml:space="preserve"> offices, subsidiaries, a</w:t>
            </w:r>
            <w:r w:rsidRPr="00BF0FAA">
              <w:rPr>
                <w:rFonts w:eastAsia="Times New Roman" w:cs="Times New Roman"/>
                <w:lang w:val="en-US"/>
              </w:rPr>
              <w:t>gencies or any form of representation</w:t>
            </w:r>
            <w:r w:rsidRPr="004D0BDA">
              <w:rPr>
                <w:rStyle w:val="Refdenotaderodap"/>
                <w:rFonts w:eastAsia="Times New Roman" w:cs="Times New Roman"/>
              </w:rPr>
              <w:footnoteReference w:id="4"/>
            </w:r>
            <w:r w:rsidRPr="00BF0FAA">
              <w:rPr>
                <w:rFonts w:eastAsia="Times New Roman" w:cs="Times New Roman"/>
                <w:lang w:val="en-US"/>
              </w:rPr>
              <w:t xml:space="preserve"> in the country of legal persons established abroad;</w:t>
            </w:r>
          </w:p>
          <w:p w:rsidR="00791430" w:rsidRPr="00BF0FAA" w:rsidRDefault="00791430" w:rsidP="006F0876">
            <w:pPr>
              <w:pStyle w:val="PargrafodaLista"/>
              <w:numPr>
                <w:ilvl w:val="0"/>
                <w:numId w:val="3"/>
              </w:numPr>
              <w:spacing w:before="240" w:after="240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BF0FAA">
              <w:rPr>
                <w:rFonts w:eastAsia="Times New Roman" w:cs="Times New Roman"/>
                <w:lang w:val="en-US"/>
              </w:rPr>
              <w:t>Funds, institutes, public bodies with administrative and financial autonomy, established in national territory;</w:t>
            </w:r>
          </w:p>
          <w:p w:rsidR="00791430" w:rsidRPr="00BF0FAA" w:rsidRDefault="00791430" w:rsidP="006F0876">
            <w:pPr>
              <w:pStyle w:val="PargrafodaLista"/>
              <w:numPr>
                <w:ilvl w:val="0"/>
                <w:numId w:val="3"/>
              </w:numPr>
              <w:spacing w:before="240" w:after="240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BF0FAA">
              <w:rPr>
                <w:rFonts w:eastAsia="Times New Roman" w:cs="Times New Roman"/>
                <w:lang w:val="en-US"/>
              </w:rPr>
              <w:t>National diplomats, consular representatives or similar an</w:t>
            </w:r>
            <w:r>
              <w:rPr>
                <w:rFonts w:eastAsia="Times New Roman" w:cs="Times New Roman"/>
                <w:lang w:val="en-US"/>
              </w:rPr>
              <w:t>d</w:t>
            </w:r>
            <w:r w:rsidRPr="00BF0FAA">
              <w:rPr>
                <w:rFonts w:eastAsia="Times New Roman" w:cs="Times New Roman"/>
                <w:lang w:val="en-US"/>
              </w:rPr>
              <w:t xml:space="preserve"> respective relatives, carrying out duties abroad;</w:t>
            </w:r>
          </w:p>
          <w:p w:rsidR="00791430" w:rsidRPr="00BF0FAA" w:rsidRDefault="00791430" w:rsidP="006F0876">
            <w:pPr>
              <w:pStyle w:val="PargrafodaLista"/>
              <w:numPr>
                <w:ilvl w:val="0"/>
                <w:numId w:val="3"/>
              </w:numPr>
              <w:spacing w:before="240" w:after="240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BF0FAA">
              <w:rPr>
                <w:rFonts w:eastAsia="Times New Roman" w:cs="Times New Roman"/>
                <w:lang w:val="en-US"/>
              </w:rPr>
              <w:t>National citizens who are absent from Angola for more than 90 days and less than 1 year, for academic</w:t>
            </w:r>
            <w:r>
              <w:rPr>
                <w:rFonts w:eastAsia="Times New Roman" w:cs="Times New Roman"/>
                <w:lang w:val="en-US"/>
              </w:rPr>
              <w:t>, health or public and private office reasons that involve living abroad;</w:t>
            </w:r>
          </w:p>
        </w:tc>
      </w:tr>
      <w:tr w:rsidR="00791430" w:rsidRPr="00634713" w:rsidTr="006F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791430" w:rsidRPr="004D0BDA" w:rsidRDefault="00791430" w:rsidP="006F0876">
            <w:pPr>
              <w:spacing w:before="240" w:after="240"/>
              <w:contextualSpacing/>
              <w:jc w:val="left"/>
              <w:rPr>
                <w:b/>
              </w:rPr>
            </w:pPr>
            <w:proofErr w:type="spellStart"/>
            <w:r>
              <w:rPr>
                <w:b/>
              </w:rPr>
              <w:t>Foreign</w:t>
            </w:r>
            <w:proofErr w:type="spellEnd"/>
            <w:r>
              <w:rPr>
                <w:b/>
              </w:rPr>
              <w:t xml:space="preserve"> Exchange </w:t>
            </w:r>
            <w:proofErr w:type="spellStart"/>
            <w:r>
              <w:rPr>
                <w:b/>
              </w:rPr>
              <w:t>Position</w:t>
            </w:r>
            <w:proofErr w:type="spellEnd"/>
          </w:p>
        </w:tc>
        <w:tc>
          <w:tcPr>
            <w:tcW w:w="3538" w:type="pct"/>
          </w:tcPr>
          <w:p w:rsidR="00791430" w:rsidRPr="004D0BDA" w:rsidRDefault="00791430" w:rsidP="006F0876">
            <w:pPr>
              <w:spacing w:before="240"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Foreign Exchange Position =Total Assets in Foreign Currency-Total Liabilities in Foreign Curreny</m:t>
                </m:r>
              </m:oMath>
            </m:oMathPara>
          </w:p>
          <w:p w:rsidR="00791430" w:rsidRPr="004D0BDA" w:rsidRDefault="00791430" w:rsidP="006F0876">
            <w:pPr>
              <w:spacing w:before="240"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8"/>
              </w:rPr>
            </w:pPr>
          </w:p>
          <w:p w:rsidR="00791430" w:rsidRPr="00397E7D" w:rsidRDefault="00791430" w:rsidP="006F0876">
            <w:pPr>
              <w:spacing w:before="240"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US"/>
              </w:rPr>
            </w:pPr>
            <w:r w:rsidRPr="00397E7D">
              <w:rPr>
                <w:lang w:val="en-US"/>
              </w:rPr>
              <w:lastRenderedPageBreak/>
              <w:t xml:space="preserve">The foreign Exchange </w:t>
            </w:r>
            <w:r>
              <w:rPr>
                <w:lang w:val="en-US"/>
              </w:rPr>
              <w:t>position is long (short) wh</w:t>
            </w:r>
            <w:r w:rsidRPr="00397E7D">
              <w:rPr>
                <w:lang w:val="en-US"/>
              </w:rPr>
              <w:t xml:space="preserve">en the total assets (liabilities) exceed </w:t>
            </w:r>
            <w:r>
              <w:rPr>
                <w:lang w:val="en-US"/>
              </w:rPr>
              <w:t>the total liabilities (assets)</w:t>
            </w:r>
            <w:r w:rsidRPr="00397E7D">
              <w:rPr>
                <w:lang w:val="en-US"/>
              </w:rPr>
              <w:t>.</w:t>
            </w:r>
          </w:p>
        </w:tc>
      </w:tr>
      <w:tr w:rsidR="00791430" w:rsidRPr="00634713" w:rsidTr="006F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791430" w:rsidRPr="004D0BDA" w:rsidRDefault="00791430" w:rsidP="006F0876">
            <w:pPr>
              <w:spacing w:before="240" w:after="240"/>
              <w:contextualSpacing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Global </w:t>
            </w:r>
            <w:proofErr w:type="spellStart"/>
            <w:r>
              <w:rPr>
                <w:b/>
              </w:rPr>
              <w:t>Coverage</w:t>
            </w:r>
            <w:proofErr w:type="spellEnd"/>
            <w:r>
              <w:rPr>
                <w:b/>
              </w:rPr>
              <w:t xml:space="preserve"> Rate</w:t>
            </w:r>
          </w:p>
        </w:tc>
        <w:tc>
          <w:tcPr>
            <w:tcW w:w="3538" w:type="pct"/>
          </w:tcPr>
          <w:p w:rsidR="00791430" w:rsidRPr="004D0BDA" w:rsidRDefault="00791430" w:rsidP="006F0876">
            <w:pPr>
              <w:pStyle w:val="Citao"/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Cs w:val="16"/>
                  </w:rPr>
                  <m:t xml:space="preserve">Global Coverage Rate= </m:t>
                </m:r>
                <m:f>
                  <m:fPr>
                    <m:ctrlPr>
                      <w:rPr>
                        <w:rFonts w:ascii="Cambria Math" w:hAnsi="Cambria Math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16"/>
                      </w:rPr>
                      <m:t>Exports</m:t>
                    </m:r>
                  </m:num>
                  <m:den>
                    <m:r>
                      <w:rPr>
                        <w:rFonts w:ascii="Cambria Math" w:hAnsi="Cambria Math"/>
                        <w:szCs w:val="16"/>
                      </w:rPr>
                      <m:t>Imports</m:t>
                    </m:r>
                  </m:den>
                </m:f>
              </m:oMath>
            </m:oMathPara>
          </w:p>
          <w:p w:rsidR="00791430" w:rsidRPr="004E0620" w:rsidRDefault="00791430" w:rsidP="006F0876">
            <w:pPr>
              <w:pStyle w:val="Citao"/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 w:val="0"/>
                <w:lang w:val="en-US"/>
              </w:rPr>
            </w:pPr>
            <w:r w:rsidRPr="004E0620">
              <w:rPr>
                <w:i w:val="0"/>
                <w:szCs w:val="16"/>
                <w:lang w:val="en-US"/>
              </w:rPr>
              <w:t>A coverage rate superior to 1 (when expressed as a percentage) means that the country has a strong commercial position (co</w:t>
            </w:r>
            <w:r>
              <w:rPr>
                <w:i w:val="0"/>
                <w:szCs w:val="16"/>
                <w:lang w:val="en-US"/>
              </w:rPr>
              <w:t>mm</w:t>
            </w:r>
            <w:r w:rsidRPr="004E0620">
              <w:rPr>
                <w:i w:val="0"/>
                <w:szCs w:val="16"/>
                <w:lang w:val="en-US"/>
              </w:rPr>
              <w:t>ercial competitiveness) while a rate lower tha</w:t>
            </w:r>
            <w:r>
              <w:rPr>
                <w:i w:val="0"/>
                <w:szCs w:val="16"/>
                <w:lang w:val="en-US"/>
              </w:rPr>
              <w:t>n 1 indicates a weak position or commercial dependency</w:t>
            </w:r>
            <w:r w:rsidRPr="004E0620">
              <w:rPr>
                <w:i w:val="0"/>
                <w:szCs w:val="16"/>
                <w:lang w:val="en-US"/>
              </w:rPr>
              <w:t xml:space="preserve"> (</w:t>
            </w:r>
            <w:r>
              <w:rPr>
                <w:i w:val="0"/>
                <w:szCs w:val="16"/>
                <w:lang w:val="en-US"/>
              </w:rPr>
              <w:t>negative trade balance</w:t>
            </w:r>
            <w:r w:rsidRPr="004E0620">
              <w:rPr>
                <w:i w:val="0"/>
                <w:szCs w:val="16"/>
                <w:lang w:val="en-US"/>
              </w:rPr>
              <w:t>).</w:t>
            </w:r>
          </w:p>
        </w:tc>
      </w:tr>
      <w:tr w:rsidR="00791430" w:rsidRPr="004D0BDA" w:rsidTr="006F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791430" w:rsidRPr="004D0BDA" w:rsidRDefault="00791430" w:rsidP="006F0876">
            <w:pPr>
              <w:spacing w:before="240" w:after="240"/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Gross </w:t>
            </w:r>
            <w:proofErr w:type="spellStart"/>
            <w:r>
              <w:rPr>
                <w:b/>
              </w:rPr>
              <w:t>Solvency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538" w:type="pct"/>
          </w:tcPr>
          <w:p w:rsidR="00791430" w:rsidRPr="004D0BDA" w:rsidRDefault="00791430" w:rsidP="006F0876">
            <w:pPr>
              <w:spacing w:before="240"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Gross Solvency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Total Equity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Total Assets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791430" w:rsidRPr="004D0BDA" w:rsidRDefault="00791430" w:rsidP="006F0876">
            <w:pPr>
              <w:spacing w:before="240"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91430" w:rsidRPr="004D0BDA" w:rsidRDefault="00791430" w:rsidP="006F0876">
            <w:pPr>
              <w:spacing w:before="240"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791430" w:rsidRPr="00634713" w:rsidTr="006F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791430" w:rsidRPr="004D0BDA" w:rsidRDefault="00791430" w:rsidP="006F0876">
            <w:pPr>
              <w:spacing w:before="240" w:after="240"/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Gross </w:t>
            </w:r>
            <w:proofErr w:type="spellStart"/>
            <w:r>
              <w:rPr>
                <w:b/>
              </w:rPr>
              <w:t>Value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Added</w:t>
            </w:r>
            <w:proofErr w:type="spellEnd"/>
            <w:r w:rsidRPr="004D0BDA">
              <w:rPr>
                <w:b/>
              </w:rPr>
              <w:t xml:space="preserve"> (</w:t>
            </w:r>
            <w:r>
              <w:rPr>
                <w:b/>
              </w:rPr>
              <w:t>GVA</w:t>
            </w:r>
            <w:r w:rsidRPr="004D0BDA">
              <w:rPr>
                <w:b/>
              </w:rPr>
              <w:t>)</w:t>
            </w:r>
          </w:p>
        </w:tc>
        <w:tc>
          <w:tcPr>
            <w:tcW w:w="3538" w:type="pct"/>
          </w:tcPr>
          <w:p w:rsidR="00791430" w:rsidRPr="00EC0566" w:rsidRDefault="00791430" w:rsidP="006F0876">
            <w:pPr>
              <w:pStyle w:val="Citao"/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lang w:val="en-US"/>
              </w:rPr>
            </w:pPr>
            <w:r w:rsidRPr="00EC0566">
              <w:rPr>
                <w:i w:val="0"/>
                <w:lang w:val="en-US"/>
              </w:rPr>
              <w:t xml:space="preserve">GVA was estimated using the financial statements of banks, </w:t>
            </w:r>
            <w:r>
              <w:rPr>
                <w:i w:val="0"/>
                <w:lang w:val="en-US"/>
              </w:rPr>
              <w:t>applying</w:t>
            </w:r>
            <w:r w:rsidRPr="00EC0566">
              <w:rPr>
                <w:i w:val="0"/>
                <w:lang w:val="en-US"/>
              </w:rPr>
              <w:t xml:space="preserve"> th</w:t>
            </w:r>
            <w:r>
              <w:rPr>
                <w:i w:val="0"/>
                <w:lang w:val="en-US"/>
              </w:rPr>
              <w:t>e following formula</w:t>
            </w:r>
            <w:r w:rsidRPr="00EC0566">
              <w:rPr>
                <w:i w:val="0"/>
                <w:lang w:val="en-US"/>
              </w:rPr>
              <w:t>:</w:t>
            </w:r>
          </w:p>
          <w:p w:rsidR="00791430" w:rsidRPr="004D0BDA" w:rsidRDefault="00791430" w:rsidP="006F0876">
            <w:pPr>
              <w:pStyle w:val="Citao"/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GVA</m:t>
                </m:r>
                <m:r>
                  <w:rPr>
                    <w:rFonts w:ascii="Cambria Math" w:hAnsi="Cambria Math"/>
                  </w:rPr>
                  <m:t>=Staff Expenses+Social Benefits + Rents and Leases + Financial Costs + Dir</m:t>
                </m:r>
                <m:r>
                  <w:rPr>
                    <w:rFonts w:ascii="Cambria Math" w:hAnsi="Cambria Math"/>
                  </w:rPr>
                  <m:t>ect and Indirect Taxes + Profits</m:t>
                </m:r>
              </m:oMath>
            </m:oMathPara>
          </w:p>
          <w:p w:rsidR="00791430" w:rsidRPr="00F9002F" w:rsidRDefault="00791430" w:rsidP="006F0876">
            <w:pPr>
              <w:pStyle w:val="PargrafodaLista"/>
              <w:numPr>
                <w:ilvl w:val="0"/>
                <w:numId w:val="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F9002F">
              <w:rPr>
                <w:rFonts w:eastAsia="Times New Roman" w:cs="Times New Roman"/>
                <w:lang w:val="en-US"/>
              </w:rPr>
              <w:t xml:space="preserve">Staff Expenses – include salaries and other paid remunerations, liquid of taxes deducted at the source and social benefits (such </w:t>
            </w:r>
            <w:r>
              <w:rPr>
                <w:rFonts w:eastAsia="Times New Roman" w:cs="Times New Roman"/>
                <w:lang w:val="en-US"/>
              </w:rPr>
              <w:t>as contributions to social security and pension funds</w:t>
            </w:r>
            <w:r w:rsidRPr="00F9002F">
              <w:rPr>
                <w:rFonts w:eastAsia="Times New Roman" w:cs="Times New Roman"/>
                <w:lang w:val="en-US"/>
              </w:rPr>
              <w:t>). Whene</w:t>
            </w:r>
            <w:r>
              <w:rPr>
                <w:rFonts w:eastAsia="Times New Roman" w:cs="Times New Roman"/>
                <w:lang w:val="en-US"/>
              </w:rPr>
              <w:t>ve</w:t>
            </w:r>
            <w:r w:rsidRPr="00F9002F">
              <w:rPr>
                <w:rFonts w:eastAsia="Times New Roman" w:cs="Times New Roman"/>
                <w:lang w:val="en-US"/>
              </w:rPr>
              <w:t>r possible, the expenses with acquisition of g</w:t>
            </w:r>
            <w:r>
              <w:rPr>
                <w:rFonts w:eastAsia="Times New Roman" w:cs="Times New Roman"/>
                <w:lang w:val="en-US"/>
              </w:rPr>
              <w:t>oods and services were excluded.</w:t>
            </w:r>
          </w:p>
          <w:p w:rsidR="00791430" w:rsidRPr="00F9002F" w:rsidRDefault="00791430" w:rsidP="006F0876">
            <w:pPr>
              <w:pStyle w:val="PargrafodaLista"/>
              <w:numPr>
                <w:ilvl w:val="0"/>
                <w:numId w:val="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F9002F">
              <w:rPr>
                <w:rFonts w:eastAsia="Times New Roman" w:cs="Times New Roman"/>
                <w:lang w:val="en-US"/>
              </w:rPr>
              <w:t xml:space="preserve">Social Benefits – measure </w:t>
            </w:r>
            <w:r>
              <w:rPr>
                <w:rFonts w:eastAsia="Times New Roman" w:cs="Times New Roman"/>
                <w:lang w:val="en-US"/>
              </w:rPr>
              <w:t>t</w:t>
            </w:r>
            <w:r w:rsidRPr="00F9002F">
              <w:rPr>
                <w:rFonts w:eastAsia="Times New Roman" w:cs="Times New Roman"/>
                <w:lang w:val="en-US"/>
              </w:rPr>
              <w:t xml:space="preserve">he income transferred to the families, in the form of </w:t>
            </w:r>
            <w:r>
              <w:rPr>
                <w:rFonts w:eastAsia="Times New Roman" w:cs="Times New Roman"/>
                <w:lang w:val="en-US"/>
              </w:rPr>
              <w:t xml:space="preserve">contributions to </w:t>
            </w:r>
            <w:r w:rsidRPr="00F9002F">
              <w:rPr>
                <w:rFonts w:eastAsia="Times New Roman" w:cs="Times New Roman"/>
                <w:lang w:val="en-US"/>
              </w:rPr>
              <w:t>social security</w:t>
            </w:r>
            <w:r>
              <w:rPr>
                <w:rFonts w:eastAsia="Times New Roman" w:cs="Times New Roman"/>
                <w:lang w:val="en-US"/>
              </w:rPr>
              <w:t>, for pension funds and insurances, among other social expenses</w:t>
            </w:r>
            <w:r w:rsidRPr="00F9002F">
              <w:rPr>
                <w:rFonts w:eastAsia="Times New Roman" w:cs="Times New Roman"/>
                <w:lang w:val="en-US"/>
              </w:rPr>
              <w:t>.</w:t>
            </w:r>
          </w:p>
          <w:p w:rsidR="00791430" w:rsidRPr="00C91C7C" w:rsidRDefault="00791430" w:rsidP="006F0876">
            <w:pPr>
              <w:pStyle w:val="PargrafodaLista"/>
              <w:numPr>
                <w:ilvl w:val="0"/>
                <w:numId w:val="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C91C7C">
              <w:rPr>
                <w:rFonts w:eastAsia="Times New Roman" w:cs="Times New Roman"/>
                <w:lang w:val="en-US"/>
              </w:rPr>
              <w:t>Financial Costs – include financial costs and commissions paid. Whenever possible, the commissions paid that represent compensation for se</w:t>
            </w:r>
            <w:r>
              <w:rPr>
                <w:rFonts w:eastAsia="Times New Roman" w:cs="Times New Roman"/>
                <w:lang w:val="en-US"/>
              </w:rPr>
              <w:t>rvices received were excluded</w:t>
            </w:r>
            <w:r w:rsidRPr="00C91C7C">
              <w:rPr>
                <w:rFonts w:eastAsia="Times New Roman" w:cs="Times New Roman"/>
                <w:lang w:val="en-US"/>
              </w:rPr>
              <w:t>.</w:t>
            </w:r>
          </w:p>
          <w:p w:rsidR="00791430" w:rsidRPr="00C91C7C" w:rsidRDefault="00791430" w:rsidP="006F0876">
            <w:pPr>
              <w:pStyle w:val="PargrafodaLista"/>
              <w:numPr>
                <w:ilvl w:val="0"/>
                <w:numId w:val="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en-US"/>
              </w:rPr>
            </w:pPr>
            <w:r w:rsidRPr="00C91C7C">
              <w:rPr>
                <w:rFonts w:eastAsia="Times New Roman" w:cs="Times New Roman"/>
                <w:lang w:val="en-US"/>
              </w:rPr>
              <w:t>Taxes – include direct and indirect taxes, such as income transferred to t</w:t>
            </w:r>
            <w:r>
              <w:rPr>
                <w:rFonts w:eastAsia="Times New Roman" w:cs="Times New Roman"/>
                <w:lang w:val="en-US"/>
              </w:rPr>
              <w:t xml:space="preserve">he State. </w:t>
            </w:r>
            <w:r w:rsidRPr="00C91C7C">
              <w:rPr>
                <w:rFonts w:eastAsia="Times New Roman" w:cs="Times New Roman"/>
                <w:lang w:val="en-US"/>
              </w:rPr>
              <w:t>It is considered that the State is not an</w:t>
            </w:r>
            <w:r>
              <w:rPr>
                <w:rFonts w:eastAsia="Times New Roman" w:cs="Times New Roman"/>
                <w:lang w:val="en-US"/>
              </w:rPr>
              <w:t xml:space="preserve"> entity generating income</w:t>
            </w:r>
            <w:r w:rsidRPr="00C91C7C">
              <w:rPr>
                <w:rFonts w:eastAsia="Times New Roman" w:cs="Times New Roman"/>
                <w:lang w:val="en-US"/>
              </w:rPr>
              <w:t>.</w:t>
            </w:r>
          </w:p>
          <w:p w:rsidR="00791430" w:rsidRPr="00C91C7C" w:rsidRDefault="00791430" w:rsidP="006F0876">
            <w:pPr>
              <w:pStyle w:val="PargrafodaLista"/>
              <w:numPr>
                <w:ilvl w:val="0"/>
                <w:numId w:val="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91C7C">
              <w:rPr>
                <w:rFonts w:eastAsia="Times New Roman" w:cs="Times New Roman"/>
                <w:lang w:val="en-US"/>
              </w:rPr>
              <w:t>Profits – include the net income before taxes to neutralize the effect of t</w:t>
            </w:r>
            <w:r>
              <w:rPr>
                <w:rFonts w:eastAsia="Times New Roman" w:cs="Times New Roman"/>
                <w:lang w:val="en-US"/>
              </w:rPr>
              <w:t>he different fiscal policies adopted</w:t>
            </w:r>
            <w:r w:rsidRPr="00C91C7C">
              <w:rPr>
                <w:rFonts w:eastAsia="Times New Roman" w:cs="Times New Roman"/>
                <w:lang w:val="en-US"/>
              </w:rPr>
              <w:t>.</w:t>
            </w:r>
          </w:p>
        </w:tc>
      </w:tr>
      <w:tr w:rsidR="00791430" w:rsidRPr="00634713" w:rsidTr="006F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791430" w:rsidRPr="004D0BDA" w:rsidRDefault="00791430" w:rsidP="006F0876">
            <w:pPr>
              <w:spacing w:before="240" w:after="240"/>
              <w:contextualSpacing/>
              <w:jc w:val="left"/>
              <w:rPr>
                <w:b/>
              </w:rPr>
            </w:pPr>
            <w:r w:rsidRPr="004D0BDA">
              <w:rPr>
                <w:b/>
              </w:rPr>
              <w:t>Herfindahl Hirschman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Index</w:t>
            </w:r>
            <w:proofErr w:type="spellEnd"/>
          </w:p>
        </w:tc>
        <w:tc>
          <w:tcPr>
            <w:tcW w:w="3538" w:type="pct"/>
            <w:vAlign w:val="bottom"/>
          </w:tcPr>
          <w:p w:rsidR="00791430" w:rsidRPr="00BC535A" w:rsidRDefault="00791430" w:rsidP="006F0876">
            <w:pPr>
              <w:spacing w:before="240"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US"/>
              </w:rPr>
            </w:pPr>
            <w:r w:rsidRPr="00271E0C">
              <w:rPr>
                <w:lang w:val="en-US"/>
              </w:rPr>
              <w:lastRenderedPageBreak/>
              <w:t xml:space="preserve">The Herfindahl Hirschman Index (HHI) measures the degree of </w:t>
            </w:r>
            <w:r w:rsidRPr="00271E0C">
              <w:rPr>
                <w:lang w:val="en-US"/>
              </w:rPr>
              <w:lastRenderedPageBreak/>
              <w:t xml:space="preserve">concentration in the relevant markets, calculating by summing the squares of the individual market shares of the banks. This </w:t>
            </w:r>
            <w:proofErr w:type="spellStart"/>
            <w:r w:rsidRPr="00271E0C">
              <w:rPr>
                <w:lang w:val="en-US"/>
              </w:rPr>
              <w:t>índex</w:t>
            </w:r>
            <w:proofErr w:type="spellEnd"/>
            <w:r w:rsidRPr="00271E0C">
              <w:rPr>
                <w:lang w:val="en-US"/>
              </w:rPr>
              <w:t xml:space="preserve"> was used to measure market shares of assets, loans, deposits, number of branches and number of automatic terminals. </w:t>
            </w:r>
            <w:r w:rsidRPr="00BC535A">
              <w:rPr>
                <w:lang w:val="en-US"/>
              </w:rPr>
              <w:t>The Federal Trade Commission of the United States of America</w:t>
            </w:r>
            <w:sdt>
              <w:sdtPr>
                <w:id w:val="-750817860"/>
                <w:citation/>
              </w:sdtPr>
              <w:sdtContent>
                <w:r w:rsidRPr="004D0BDA">
                  <w:fldChar w:fldCharType="begin"/>
                </w:r>
                <w:r w:rsidRPr="00BC535A">
                  <w:rPr>
                    <w:lang w:val="en-US"/>
                  </w:rPr>
                  <w:instrText xml:space="preserve"> CITATION USD10 \l 2070 </w:instrText>
                </w:r>
                <w:r w:rsidRPr="004D0BDA">
                  <w:fldChar w:fldCharType="separate"/>
                </w:r>
                <w:r w:rsidRPr="00BC535A">
                  <w:rPr>
                    <w:noProof/>
                    <w:lang w:val="en-US"/>
                  </w:rPr>
                  <w:t xml:space="preserve"> [3]</w:t>
                </w:r>
                <w:r w:rsidRPr="004D0BDA">
                  <w:fldChar w:fldCharType="end"/>
                </w:r>
              </w:sdtContent>
            </w:sdt>
            <w:r w:rsidRPr="00BC535A">
              <w:rPr>
                <w:lang w:val="en-US"/>
              </w:rPr>
              <w:t xml:space="preserve"> considers that a HHI&lt;1500 indicates low concentration, </w:t>
            </w:r>
            <w:r>
              <w:rPr>
                <w:lang w:val="en-US"/>
              </w:rPr>
              <w:t>1500&lt;</w:t>
            </w:r>
            <w:r w:rsidRPr="00BC535A">
              <w:rPr>
                <w:lang w:val="en-US"/>
              </w:rPr>
              <w:t>HH</w:t>
            </w:r>
            <w:r>
              <w:rPr>
                <w:lang w:val="en-US"/>
              </w:rPr>
              <w:t>I</w:t>
            </w:r>
            <w:r w:rsidRPr="00BC535A">
              <w:rPr>
                <w:lang w:val="en-US"/>
              </w:rPr>
              <w:t>&lt;2500 indica</w:t>
            </w:r>
            <w:r>
              <w:rPr>
                <w:lang w:val="en-US"/>
              </w:rPr>
              <w:t>tes moderate concentration and</w:t>
            </w:r>
            <w:r w:rsidRPr="00BC535A">
              <w:rPr>
                <w:lang w:val="en-US"/>
              </w:rPr>
              <w:t xml:space="preserve"> HH</w:t>
            </w:r>
            <w:r>
              <w:rPr>
                <w:lang w:val="en-US"/>
              </w:rPr>
              <w:t>I</w:t>
            </w:r>
            <w:r w:rsidRPr="00BC535A">
              <w:rPr>
                <w:lang w:val="en-US"/>
              </w:rPr>
              <w:t>&gt; 2500 indica</w:t>
            </w:r>
            <w:r>
              <w:rPr>
                <w:lang w:val="en-US"/>
              </w:rPr>
              <w:t>tes high concentration.</w:t>
            </w:r>
          </w:p>
        </w:tc>
      </w:tr>
      <w:tr w:rsidR="00791430" w:rsidRPr="004D0BDA" w:rsidTr="006F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791430" w:rsidRPr="00770FD1" w:rsidRDefault="00791430" w:rsidP="006F0876">
            <w:pPr>
              <w:spacing w:before="240" w:after="240"/>
              <w:contextualSpacing/>
              <w:jc w:val="left"/>
              <w:rPr>
                <w:b/>
                <w:lang w:val="en-US"/>
              </w:rPr>
            </w:pPr>
            <w:r w:rsidRPr="00770FD1">
              <w:rPr>
                <w:b/>
                <w:lang w:val="en-US"/>
              </w:rPr>
              <w:lastRenderedPageBreak/>
              <w:t>Liquidity Ratio in Foreign Currenc</w:t>
            </w:r>
            <w:r>
              <w:rPr>
                <w:b/>
                <w:lang w:val="en-US"/>
              </w:rPr>
              <w:t>y</w:t>
            </w:r>
          </w:p>
        </w:tc>
        <w:tc>
          <w:tcPr>
            <w:tcW w:w="3538" w:type="pct"/>
          </w:tcPr>
          <w:p w:rsidR="00791430" w:rsidRPr="004D0BDA" w:rsidRDefault="00791430" w:rsidP="006F0876">
            <w:pPr>
              <w:spacing w:before="240"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Liquidity Ratio in Foreign Currency </m:t>
                </m:r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Cash and Cash Equivalents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in BNA+Abroad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Deposits in Foreign Currency</m:t>
                    </m:r>
                  </m:den>
                </m:f>
              </m:oMath>
            </m:oMathPara>
          </w:p>
        </w:tc>
      </w:tr>
      <w:tr w:rsidR="00791430" w:rsidRPr="00634713" w:rsidTr="006F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791430" w:rsidRPr="004D0BDA" w:rsidRDefault="00791430" w:rsidP="006F0876">
            <w:pPr>
              <w:spacing w:before="240" w:after="240"/>
              <w:contextualSpacing/>
              <w:jc w:val="left"/>
              <w:rPr>
                <w:b/>
              </w:rPr>
            </w:pPr>
            <w:proofErr w:type="gramStart"/>
            <w:r>
              <w:rPr>
                <w:b/>
              </w:rPr>
              <w:t>Live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Cards</w:t>
            </w:r>
            <w:proofErr w:type="spellEnd"/>
          </w:p>
        </w:tc>
        <w:tc>
          <w:tcPr>
            <w:tcW w:w="3538" w:type="pct"/>
          </w:tcPr>
          <w:p w:rsidR="00791430" w:rsidRPr="00FE05C0" w:rsidRDefault="00791430" w:rsidP="006F0876">
            <w:pPr>
              <w:spacing w:before="240"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FE05C0">
              <w:rPr>
                <w:lang w:val="en-US"/>
              </w:rPr>
              <w:t>Total valid cards used on the network until the</w:t>
            </w:r>
            <w:r>
              <w:rPr>
                <w:lang w:val="en-US"/>
              </w:rPr>
              <w:t xml:space="preserve"> last day of the month</w:t>
            </w:r>
          </w:p>
        </w:tc>
      </w:tr>
      <w:tr w:rsidR="00791430" w:rsidRPr="004D0BDA" w:rsidTr="006F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791430" w:rsidRPr="004D0BDA" w:rsidRDefault="00791430" w:rsidP="006F0876">
            <w:pPr>
              <w:spacing w:before="240" w:after="240"/>
              <w:contextualSpacing/>
              <w:jc w:val="left"/>
              <w:rPr>
                <w:b/>
              </w:rPr>
            </w:pPr>
            <w:proofErr w:type="spellStart"/>
            <w:r w:rsidRPr="004D0BDA">
              <w:rPr>
                <w:b/>
              </w:rPr>
              <w:t>O</w:t>
            </w:r>
            <w:r>
              <w:rPr>
                <w:b/>
              </w:rPr>
              <w:t>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Costs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Losses</w:t>
            </w:r>
            <w:proofErr w:type="spellEnd"/>
          </w:p>
        </w:tc>
        <w:tc>
          <w:tcPr>
            <w:tcW w:w="3538" w:type="pct"/>
          </w:tcPr>
          <w:p w:rsidR="00791430" w:rsidRPr="004D0BDA" w:rsidRDefault="00791430" w:rsidP="006F0876">
            <w:pPr>
              <w:spacing w:before="240"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Other Costs and Losses = Taxes + Penalties + Other Administrative Costs +Cost Recovery + Provisions for Losses</m:t>
                </m:r>
              </m:oMath>
            </m:oMathPara>
          </w:p>
        </w:tc>
      </w:tr>
      <w:tr w:rsidR="00791430" w:rsidRPr="004D0BDA" w:rsidTr="006F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791430" w:rsidRPr="004D0BDA" w:rsidRDefault="00791430" w:rsidP="006F0876">
            <w:pPr>
              <w:spacing w:before="240" w:after="240"/>
              <w:contextualSpacing/>
              <w:jc w:val="left"/>
              <w:rPr>
                <w:b/>
              </w:rPr>
            </w:pP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Not-Remunerated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Assets</w:t>
            </w:r>
            <w:proofErr w:type="spellEnd"/>
          </w:p>
        </w:tc>
        <w:tc>
          <w:tcPr>
            <w:tcW w:w="3538" w:type="pct"/>
          </w:tcPr>
          <w:p w:rsidR="00791430" w:rsidRPr="004D0BDA" w:rsidRDefault="00791430" w:rsidP="006F0876">
            <w:pPr>
              <w:spacing w:before="240"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Other Not-Remunerated Assets =</m:t>
                </m:r>
              </m:oMath>
            </m:oMathPara>
          </w:p>
          <w:p w:rsidR="00791430" w:rsidRPr="004D0BDA" w:rsidRDefault="00791430" w:rsidP="006F0876">
            <w:pPr>
              <w:spacing w:before="240"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Other Values + Commercial and Industrial Customers +Fixed Assets</m:t>
                </m:r>
              </m:oMath>
            </m:oMathPara>
          </w:p>
        </w:tc>
      </w:tr>
      <w:tr w:rsidR="00791430" w:rsidRPr="004D0BDA" w:rsidTr="006F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791430" w:rsidRPr="004D0BDA" w:rsidRDefault="00791430" w:rsidP="006F0876">
            <w:pPr>
              <w:spacing w:after="240"/>
              <w:contextualSpacing/>
              <w:jc w:val="left"/>
              <w:rPr>
                <w:b/>
              </w:rPr>
            </w:pPr>
            <w:proofErr w:type="spellStart"/>
            <w:r w:rsidRPr="004D0BDA">
              <w:rPr>
                <w:b/>
              </w:rPr>
              <w:t>O</w:t>
            </w:r>
            <w:r>
              <w:rPr>
                <w:b/>
              </w:rPr>
              <w:t>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4D0BDA">
              <w:rPr>
                <w:b/>
              </w:rPr>
              <w:t>Remunera</w:t>
            </w:r>
            <w:r>
              <w:rPr>
                <w:b/>
              </w:rPr>
              <w:t>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Assets</w:t>
            </w:r>
            <w:proofErr w:type="spellEnd"/>
          </w:p>
        </w:tc>
        <w:tc>
          <w:tcPr>
            <w:tcW w:w="3538" w:type="pct"/>
          </w:tcPr>
          <w:p w:rsidR="00791430" w:rsidRPr="004D0BDA" w:rsidRDefault="00791430" w:rsidP="006F0876">
            <w:pPr>
              <w:pStyle w:val="Citao"/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</w:rPr>
            </w:pPr>
            <m:oMathPara>
              <m:oMath>
                <m:r>
                  <w:rPr>
                    <w:rFonts w:ascii="Cambria Math" w:hAnsi="Cambria Math"/>
                  </w:rPr>
                  <m:t>Other Remunerated Assets= Cash and Cash Equivalent</m:t>
                </m:r>
                <m:r>
                  <w:rPr>
                    <w:rFonts w:ascii="Cambria Math" w:hAnsi="Cambria Math" w:cs="Cambria Math"/>
                  </w:rPr>
                  <m:t>s</m:t>
                </m:r>
                <m:r>
                  <w:rPr>
                    <w:rFonts w:ascii="Cambria Math" w:hAnsi="Cambria Math"/>
                  </w:rPr>
                  <m:t>+Loans in the Payment System + Derivative Financial Instruments + Foreign Exchange Transactions</m:t>
                </m:r>
              </m:oMath>
            </m:oMathPara>
          </w:p>
        </w:tc>
      </w:tr>
      <w:tr w:rsidR="004D0BDA" w:rsidRPr="00634713" w:rsidTr="00027F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4D0BDA" w:rsidRPr="004D0BDA" w:rsidRDefault="004243E5" w:rsidP="004243E5">
            <w:pPr>
              <w:spacing w:before="240" w:after="240"/>
              <w:contextualSpacing/>
              <w:jc w:val="left"/>
              <w:rPr>
                <w:b/>
                <w:bCs/>
              </w:rPr>
            </w:pPr>
            <w:proofErr w:type="spellStart"/>
            <w:r w:rsidRPr="004D0BDA">
              <w:rPr>
                <w:rStyle w:val="Forte"/>
              </w:rPr>
              <w:t>Popula</w:t>
            </w:r>
            <w:r>
              <w:rPr>
                <w:rStyle w:val="Forte"/>
              </w:rPr>
              <w:t>tion</w:t>
            </w:r>
            <w:proofErr w:type="spellEnd"/>
            <w:r>
              <w:rPr>
                <w:rStyle w:val="Forte"/>
              </w:rPr>
              <w:t xml:space="preserve"> </w:t>
            </w:r>
            <w:proofErr w:type="spellStart"/>
            <w:r>
              <w:rPr>
                <w:rStyle w:val="Forte"/>
              </w:rPr>
              <w:t>Density</w:t>
            </w:r>
            <w:proofErr w:type="spellEnd"/>
            <w:r w:rsidR="004D0BDA" w:rsidRPr="004D0BDA">
              <w:rPr>
                <w:rStyle w:val="Forte"/>
              </w:rPr>
              <w:t xml:space="preserve"> </w:t>
            </w:r>
          </w:p>
        </w:tc>
        <w:tc>
          <w:tcPr>
            <w:tcW w:w="3538" w:type="pct"/>
          </w:tcPr>
          <w:p w:rsidR="004D0BDA" w:rsidRPr="004D0BDA" w:rsidRDefault="004D0BDA" w:rsidP="00027F25">
            <w:pPr>
              <w:spacing w:before="240"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 xml:space="preserve">Population Density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Population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Area</m:t>
                    </m:r>
                  </m:den>
                </m:f>
              </m:oMath>
            </m:oMathPara>
          </w:p>
          <w:p w:rsidR="004D0BDA" w:rsidRPr="004243E5" w:rsidRDefault="004243E5" w:rsidP="004243E5">
            <w:pPr>
              <w:spacing w:before="240"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243E5">
              <w:rPr>
                <w:lang w:val="en-US"/>
              </w:rPr>
              <w:t>Measure that relates the number of individuals with the are</w:t>
            </w:r>
            <w:r>
              <w:rPr>
                <w:lang w:val="en-US"/>
              </w:rPr>
              <w:t>a</w:t>
            </w:r>
            <w:r w:rsidRPr="004243E5">
              <w:rPr>
                <w:lang w:val="en-US"/>
              </w:rPr>
              <w:t xml:space="preserve"> they occupy, expressed in number of i</w:t>
            </w:r>
            <w:r>
              <w:rPr>
                <w:lang w:val="en-US"/>
              </w:rPr>
              <w:t>nhabitants per K</w:t>
            </w:r>
            <w:r w:rsidR="004D0BDA" w:rsidRPr="004243E5">
              <w:rPr>
                <w:lang w:val="en-US"/>
              </w:rPr>
              <w:t>m</w:t>
            </w:r>
            <w:r w:rsidR="004D0BDA" w:rsidRPr="004243E5">
              <w:rPr>
                <w:vertAlign w:val="superscript"/>
                <w:lang w:val="en-US"/>
              </w:rPr>
              <w:t>2</w:t>
            </w:r>
            <w:r w:rsidR="004D0BDA" w:rsidRPr="004243E5">
              <w:rPr>
                <w:lang w:val="en-US"/>
              </w:rPr>
              <w:t xml:space="preserve">, </w:t>
            </w:r>
            <w:r>
              <w:rPr>
                <w:lang w:val="en-US"/>
              </w:rPr>
              <w:t>indicating the average existing inhabitants per square kilometer</w:t>
            </w:r>
            <w:r w:rsidR="004D0BDA" w:rsidRPr="004243E5">
              <w:rPr>
                <w:lang w:val="en-US"/>
              </w:rPr>
              <w:t>.</w:t>
            </w:r>
          </w:p>
        </w:tc>
      </w:tr>
      <w:tr w:rsidR="004D0BDA" w:rsidRPr="004D0BDA" w:rsidTr="00027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4D0BDA" w:rsidRPr="004D0BDA" w:rsidRDefault="00271E0C" w:rsidP="00FD4EDA">
            <w:pPr>
              <w:spacing w:before="240" w:after="240"/>
              <w:contextualSpacing/>
              <w:jc w:val="left"/>
              <w:rPr>
                <w:b/>
              </w:rPr>
            </w:pPr>
            <w:proofErr w:type="spellStart"/>
            <w:r>
              <w:rPr>
                <w:b/>
              </w:rPr>
              <w:t>Quick</w:t>
            </w:r>
            <w:proofErr w:type="spellEnd"/>
            <w:r>
              <w:rPr>
                <w:b/>
              </w:rPr>
              <w:t xml:space="preserve"> Ratio</w:t>
            </w:r>
          </w:p>
        </w:tc>
        <w:tc>
          <w:tcPr>
            <w:tcW w:w="3538" w:type="pct"/>
          </w:tcPr>
          <w:p w:rsidR="004D0BDA" w:rsidRPr="00FC45FD" w:rsidRDefault="00FC45FD" w:rsidP="00FC45FD">
            <w:pPr>
              <w:spacing w:before="240"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 xml:space="preserve">Quick Ratio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Cash and Cahs Equivalents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Fiancial Liabiliti</m:t>
                    </m:r>
                    <m:r>
                      <w:rPr>
                        <w:rFonts w:ascii="Cambria Math" w:hAnsi="Cambria Math"/>
                      </w:rPr>
                      <m:t>es</m:t>
                    </m:r>
                  </m:den>
                </m:f>
              </m:oMath>
            </m:oMathPara>
          </w:p>
        </w:tc>
      </w:tr>
      <w:tr w:rsidR="00791430" w:rsidRPr="004D0BDA" w:rsidTr="006F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791430" w:rsidRPr="004D0BDA" w:rsidRDefault="00791430" w:rsidP="006F0876">
            <w:pPr>
              <w:spacing w:before="240" w:after="240"/>
              <w:contextualSpacing/>
              <w:jc w:val="left"/>
              <w:rPr>
                <w:b/>
              </w:rPr>
            </w:pPr>
            <w:proofErr w:type="spellStart"/>
            <w:r>
              <w:rPr>
                <w:b/>
              </w:rPr>
              <w:t>Regulatory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Solvency</w:t>
            </w:r>
            <w:proofErr w:type="spellEnd"/>
            <w:r>
              <w:rPr>
                <w:b/>
              </w:rPr>
              <w:t xml:space="preserve"> Ratio</w:t>
            </w:r>
            <w:r w:rsidRPr="004D0BDA">
              <w:rPr>
                <w:b/>
              </w:rPr>
              <w:t xml:space="preserve"> (RSR)</w:t>
            </w:r>
          </w:p>
        </w:tc>
        <w:tc>
          <w:tcPr>
            <w:tcW w:w="3538" w:type="pct"/>
          </w:tcPr>
          <w:p w:rsidR="00791430" w:rsidRPr="004D0BDA" w:rsidRDefault="00791430" w:rsidP="006F0876">
            <w:pPr>
              <w:spacing w:before="240"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RSR=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Regulatory Equity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Loans Risk 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Gold and Foreign Exchange Risk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10%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</w:rPr>
                  <m:t xml:space="preserve"> ≥10%</m:t>
                </m:r>
              </m:oMath>
            </m:oMathPara>
          </w:p>
        </w:tc>
      </w:tr>
      <w:tr w:rsidR="004D0BDA" w:rsidRPr="004D0BDA" w:rsidTr="00027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4D0BDA" w:rsidRPr="004D0BDA" w:rsidRDefault="00271E0C" w:rsidP="00FD4EDA">
            <w:pPr>
              <w:spacing w:before="240" w:after="240"/>
              <w:contextualSpacing/>
              <w:jc w:val="left"/>
              <w:rPr>
                <w:b/>
              </w:rPr>
            </w:pPr>
            <w:proofErr w:type="spellStart"/>
            <w:r w:rsidRPr="00271E0C">
              <w:rPr>
                <w:b/>
              </w:rPr>
              <w:t>Relevance</w:t>
            </w:r>
            <w:proofErr w:type="spellEnd"/>
            <w:r w:rsidRPr="00271E0C">
              <w:rPr>
                <w:b/>
              </w:rPr>
              <w:t xml:space="preserve"> </w:t>
            </w:r>
            <w:proofErr w:type="spellStart"/>
            <w:r w:rsidRPr="00271E0C">
              <w:rPr>
                <w:b/>
              </w:rPr>
              <w:t>of</w:t>
            </w:r>
            <w:proofErr w:type="spellEnd"/>
            <w:r w:rsidRPr="00271E0C">
              <w:rPr>
                <w:b/>
              </w:rPr>
              <w:t xml:space="preserve"> </w:t>
            </w:r>
            <w:proofErr w:type="spellStart"/>
            <w:r w:rsidRPr="00271E0C">
              <w:rPr>
                <w:b/>
              </w:rPr>
              <w:lastRenderedPageBreak/>
              <w:t>Subordinated</w:t>
            </w:r>
            <w:proofErr w:type="spellEnd"/>
            <w:r w:rsidRPr="00271E0C">
              <w:rPr>
                <w:b/>
              </w:rPr>
              <w:t xml:space="preserve"> </w:t>
            </w:r>
            <w:proofErr w:type="spellStart"/>
            <w:r w:rsidRPr="00271E0C">
              <w:rPr>
                <w:b/>
              </w:rPr>
              <w:t>Debt</w:t>
            </w:r>
            <w:proofErr w:type="spellEnd"/>
          </w:p>
        </w:tc>
        <w:tc>
          <w:tcPr>
            <w:tcW w:w="3538" w:type="pct"/>
          </w:tcPr>
          <w:p w:rsidR="004D0BDA" w:rsidRPr="004D0BDA" w:rsidRDefault="004D0BDA" w:rsidP="00770FD1">
            <w:pPr>
              <w:spacing w:before="240"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w:lastRenderedPageBreak/>
                  <m:t xml:space="preserve">Relevance of Subordinated Debt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Deposits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Financial Liabilities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</w:tr>
      <w:tr w:rsidR="004D0BDA" w:rsidRPr="004D0BDA" w:rsidTr="00027F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4D0BDA" w:rsidRPr="00B86C6B" w:rsidRDefault="004D0BDA" w:rsidP="00B86C6B">
            <w:pPr>
              <w:spacing w:before="240" w:after="240"/>
              <w:contextualSpacing/>
              <w:jc w:val="left"/>
              <w:rPr>
                <w:b/>
                <w:lang w:val="en-US"/>
              </w:rPr>
            </w:pPr>
            <w:r w:rsidRPr="00B86C6B">
              <w:rPr>
                <w:b/>
                <w:lang w:val="en-US"/>
              </w:rPr>
              <w:lastRenderedPageBreak/>
              <w:t>Ret</w:t>
            </w:r>
            <w:r w:rsidR="00B86C6B" w:rsidRPr="00B86C6B">
              <w:rPr>
                <w:b/>
                <w:lang w:val="en-US"/>
              </w:rPr>
              <w:t>urn on Average Assets</w:t>
            </w:r>
            <w:r w:rsidR="00B86C6B">
              <w:rPr>
                <w:b/>
                <w:lang w:val="en-US"/>
              </w:rPr>
              <w:t xml:space="preserve"> (ROAA) </w:t>
            </w:r>
            <w:r w:rsidR="00B86C6B" w:rsidRPr="00B86C6B">
              <w:rPr>
                <w:b/>
                <w:lang w:val="en-US"/>
              </w:rPr>
              <w:t xml:space="preserve">and </w:t>
            </w:r>
            <w:r w:rsidRPr="00B86C6B">
              <w:rPr>
                <w:b/>
                <w:lang w:val="en-US"/>
              </w:rPr>
              <w:t>Re</w:t>
            </w:r>
            <w:r w:rsidR="00B86C6B" w:rsidRPr="00B86C6B">
              <w:rPr>
                <w:b/>
                <w:lang w:val="en-US"/>
              </w:rPr>
              <w:t>turn on Av</w:t>
            </w:r>
            <w:r w:rsidR="00B86C6B">
              <w:rPr>
                <w:b/>
                <w:lang w:val="en-US"/>
              </w:rPr>
              <w:t>erage Equity (ROAE)</w:t>
            </w:r>
          </w:p>
        </w:tc>
        <w:tc>
          <w:tcPr>
            <w:tcW w:w="3538" w:type="pct"/>
          </w:tcPr>
          <w:p w:rsidR="004D0BDA" w:rsidRPr="004D0BDA" w:rsidRDefault="00B86C6B" w:rsidP="00027F25">
            <w:pPr>
              <w:spacing w:before="240"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Leverage Ratio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Average Total Assets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Average Total Equity</m:t>
                    </m:r>
                  </m:den>
                </m:f>
              </m:oMath>
            </m:oMathPara>
          </w:p>
          <w:p w:rsidR="004D0BDA" w:rsidRPr="004D0BDA" w:rsidRDefault="004D0BDA" w:rsidP="00027F25">
            <w:pPr>
              <w:spacing w:before="240"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ROAA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Net Income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Average Total Assets</m:t>
                    </m:r>
                  </m:den>
                </m:f>
              </m:oMath>
            </m:oMathPara>
          </w:p>
          <w:p w:rsidR="004D0BDA" w:rsidRPr="004D0BDA" w:rsidRDefault="004D0BDA" w:rsidP="00B86C6B">
            <w:pPr>
              <w:spacing w:before="240"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ROAE = ROAA x Leverage Ratio</m:t>
                </m:r>
              </m:oMath>
            </m:oMathPara>
          </w:p>
        </w:tc>
      </w:tr>
      <w:tr w:rsidR="00791430" w:rsidRPr="004D0BDA" w:rsidTr="006F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791430" w:rsidRPr="00271E0C" w:rsidRDefault="00791430" w:rsidP="006F0876">
            <w:pPr>
              <w:spacing w:before="240" w:after="240"/>
              <w:contextualSpacing/>
              <w:jc w:val="left"/>
              <w:rPr>
                <w:b/>
                <w:lang w:val="en-US"/>
              </w:rPr>
            </w:pPr>
            <w:r w:rsidRPr="00EC0566">
              <w:rPr>
                <w:b/>
                <w:lang w:val="en-US"/>
              </w:rPr>
              <w:t>Short Term Assets to Total Assets</w:t>
            </w:r>
          </w:p>
        </w:tc>
        <w:tc>
          <w:tcPr>
            <w:tcW w:w="3538" w:type="pct"/>
          </w:tcPr>
          <w:p w:rsidR="00791430" w:rsidRPr="004D0BDA" w:rsidRDefault="00791430" w:rsidP="006F0876">
            <w:pPr>
              <w:spacing w:before="240"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Short Term Assets to Total Assets 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Short Term Investments+Securities</m:t>
                        </m:r>
                      </m:e>
                    </m:d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num>
                  <m:den>
                    <m:r>
                      <w:rPr>
                        <w:rFonts w:ascii="Cambria Math" w:hAnsi="Cambria Math"/>
                      </w:rPr>
                      <m:t>Total Assets</m:t>
                    </m:r>
                  </m:den>
                </m:f>
              </m:oMath>
            </m:oMathPara>
          </w:p>
        </w:tc>
      </w:tr>
      <w:tr w:rsidR="00791430" w:rsidRPr="004D0BDA" w:rsidTr="006F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791430" w:rsidRPr="004D0BDA" w:rsidRDefault="00791430" w:rsidP="006F0876">
            <w:pPr>
              <w:spacing w:before="240" w:after="240"/>
              <w:contextualSpacing/>
              <w:jc w:val="left"/>
              <w:rPr>
                <w:b/>
                <w:i/>
              </w:rPr>
            </w:pPr>
            <w:proofErr w:type="gramStart"/>
            <w:r w:rsidRPr="004D0BDA">
              <w:rPr>
                <w:b/>
                <w:i/>
              </w:rPr>
              <w:t>Spread</w:t>
            </w:r>
            <w:proofErr w:type="gramEnd"/>
          </w:p>
        </w:tc>
        <w:tc>
          <w:tcPr>
            <w:tcW w:w="3538" w:type="pct"/>
          </w:tcPr>
          <w:p w:rsidR="00791430" w:rsidRPr="00CB7DE6" w:rsidRDefault="00791430" w:rsidP="006F0876">
            <w:pPr>
              <w:spacing w:before="240"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CB7DE6">
              <w:rPr>
                <w:szCs w:val="16"/>
                <w:lang w:val="en-US"/>
              </w:rPr>
              <w:t xml:space="preserve">Difference between the interest rates of loans granted and interest paid </w:t>
            </w:r>
            <w:r>
              <w:rPr>
                <w:szCs w:val="16"/>
                <w:lang w:val="en-US"/>
              </w:rPr>
              <w:t>for these in funding received</w:t>
            </w:r>
          </w:p>
          <w:p w:rsidR="00791430" w:rsidRPr="004D0BDA" w:rsidRDefault="00791430" w:rsidP="006F0876">
            <w:pPr>
              <w:spacing w:before="240"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 xml:space="preserve">Spread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Interest Rates of Loans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Interest Rates for Term Deposits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</w:tr>
      <w:tr w:rsidR="00791430" w:rsidRPr="004D0BDA" w:rsidTr="006F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791430" w:rsidRPr="00DE4825" w:rsidRDefault="00791430" w:rsidP="006F0876">
            <w:pPr>
              <w:spacing w:before="240" w:after="240"/>
              <w:contextualSpacing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Reserves in Months of Imports</w:t>
            </w:r>
          </w:p>
        </w:tc>
        <w:tc>
          <w:tcPr>
            <w:tcW w:w="3538" w:type="pct"/>
          </w:tcPr>
          <w:p w:rsidR="00791430" w:rsidRPr="004D0BDA" w:rsidRDefault="00791430" w:rsidP="006F0876">
            <w:pPr>
              <w:spacing w:before="240"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Total Reserves in Months of Imports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Gross Reserves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Months of Imports </m:t>
                    </m:r>
                  </m:den>
                </m:f>
              </m:oMath>
            </m:oMathPara>
          </w:p>
        </w:tc>
      </w:tr>
      <w:tr w:rsidR="00791430" w:rsidRPr="00634713" w:rsidTr="006F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pct"/>
          </w:tcPr>
          <w:p w:rsidR="00791430" w:rsidRPr="004D0BDA" w:rsidRDefault="00791430" w:rsidP="006F0876">
            <w:pPr>
              <w:spacing w:before="240" w:after="240"/>
              <w:contextualSpacing/>
              <w:jc w:val="left"/>
              <w:rPr>
                <w:b/>
              </w:rPr>
            </w:pPr>
            <w:proofErr w:type="spellStart"/>
            <w:r>
              <w:rPr>
                <w:b/>
              </w:rPr>
              <w:t>Valid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Cards</w:t>
            </w:r>
            <w:proofErr w:type="spellEnd"/>
          </w:p>
        </w:tc>
        <w:tc>
          <w:tcPr>
            <w:tcW w:w="3538" w:type="pct"/>
          </w:tcPr>
          <w:p w:rsidR="00791430" w:rsidRPr="00FE05C0" w:rsidRDefault="00791430" w:rsidP="006F0876">
            <w:pPr>
              <w:spacing w:before="240"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FE05C0">
              <w:rPr>
                <w:lang w:val="en-US"/>
              </w:rPr>
              <w:t>Total cards registered on the network that ha</w:t>
            </w:r>
            <w:r>
              <w:rPr>
                <w:lang w:val="en-US"/>
              </w:rPr>
              <w:t>s a va</w:t>
            </w:r>
            <w:r w:rsidRPr="00FE05C0">
              <w:rPr>
                <w:lang w:val="en-US"/>
              </w:rPr>
              <w:t xml:space="preserve">lid expiration date </w:t>
            </w:r>
            <w:r>
              <w:rPr>
                <w:lang w:val="en-US"/>
              </w:rPr>
              <w:t>on the last day of the month</w:t>
            </w:r>
          </w:p>
        </w:tc>
      </w:tr>
    </w:tbl>
    <w:p w:rsidR="007F7651" w:rsidRPr="00C91C7C" w:rsidRDefault="007F7651" w:rsidP="004D0BDA">
      <w:pPr>
        <w:spacing w:before="240" w:after="240"/>
        <w:contextualSpacing/>
        <w:rPr>
          <w:lang w:val="en-US"/>
        </w:rPr>
      </w:pPr>
    </w:p>
    <w:sectPr w:rsidR="007F7651" w:rsidRPr="00C91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2E" w:rsidRDefault="00426A2E" w:rsidP="004D0BDA">
      <w:pPr>
        <w:spacing w:line="240" w:lineRule="auto"/>
      </w:pPr>
      <w:r>
        <w:separator/>
      </w:r>
    </w:p>
  </w:endnote>
  <w:endnote w:type="continuationSeparator" w:id="0">
    <w:p w:rsidR="00426A2E" w:rsidRDefault="00426A2E" w:rsidP="004D0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2E" w:rsidRDefault="00426A2E" w:rsidP="004D0BDA">
      <w:pPr>
        <w:spacing w:line="240" w:lineRule="auto"/>
      </w:pPr>
      <w:r>
        <w:separator/>
      </w:r>
    </w:p>
  </w:footnote>
  <w:footnote w:type="continuationSeparator" w:id="0">
    <w:p w:rsidR="00426A2E" w:rsidRDefault="00426A2E" w:rsidP="004D0BDA">
      <w:pPr>
        <w:spacing w:line="240" w:lineRule="auto"/>
      </w:pPr>
      <w:r>
        <w:continuationSeparator/>
      </w:r>
    </w:p>
  </w:footnote>
  <w:footnote w:id="1">
    <w:p w:rsidR="00FD4EDA" w:rsidRPr="000F7638" w:rsidRDefault="00FD4EDA" w:rsidP="00FD4EDA">
      <w:pPr>
        <w:rPr>
          <w:lang w:val="en-US"/>
        </w:rPr>
      </w:pPr>
      <w:r w:rsidRPr="00161C69">
        <w:rPr>
          <w:rStyle w:val="RefernciaDiscreta"/>
          <w:szCs w:val="16"/>
          <w:vertAlign w:val="superscript"/>
        </w:rPr>
        <w:footnoteRef/>
      </w:r>
      <w:r w:rsidRPr="000F7638">
        <w:rPr>
          <w:rStyle w:val="RefernciaDiscreta"/>
          <w:szCs w:val="16"/>
          <w:lang w:val="en-US"/>
        </w:rPr>
        <w:t xml:space="preserve"> </w:t>
      </w:r>
      <w:r w:rsidR="000F7638" w:rsidRPr="000F7638">
        <w:rPr>
          <w:rStyle w:val="RefernciaDiscreta"/>
          <w:szCs w:val="16"/>
          <w:lang w:val="en-US"/>
        </w:rPr>
        <w:t>The instances where the sample was adjusted for lack of data are</w:t>
      </w:r>
      <w:r w:rsidR="000F7638">
        <w:rPr>
          <w:rStyle w:val="RefernciaDiscreta"/>
          <w:szCs w:val="16"/>
          <w:lang w:val="en-US"/>
        </w:rPr>
        <w:t xml:space="preserve"> mentioned in a footnote</w:t>
      </w:r>
      <w:r w:rsidRPr="000F7638">
        <w:rPr>
          <w:rStyle w:val="RefernciaDiscreta"/>
          <w:szCs w:val="16"/>
          <w:lang w:val="en-US"/>
        </w:rPr>
        <w:t>.</w:t>
      </w:r>
    </w:p>
  </w:footnote>
  <w:footnote w:id="2">
    <w:p w:rsidR="00FD4EDA" w:rsidRPr="007E336C" w:rsidRDefault="00FD4EDA" w:rsidP="00FD4EDA">
      <w:pPr>
        <w:rPr>
          <w:rStyle w:val="RefernciaDiscreta"/>
          <w:szCs w:val="16"/>
          <w:lang w:val="en-US"/>
        </w:rPr>
      </w:pPr>
      <w:r w:rsidRPr="00161C69">
        <w:rPr>
          <w:rStyle w:val="RefernciaDiscreta"/>
          <w:szCs w:val="16"/>
          <w:vertAlign w:val="superscript"/>
        </w:rPr>
        <w:footnoteRef/>
      </w:r>
      <w:r w:rsidR="007E336C" w:rsidRPr="007E336C">
        <w:rPr>
          <w:rStyle w:val="RefernciaDiscreta"/>
          <w:szCs w:val="16"/>
          <w:lang w:val="en-US"/>
        </w:rPr>
        <w:t xml:space="preserve"> The sample in </w:t>
      </w:r>
      <w:r w:rsidRPr="007E336C">
        <w:rPr>
          <w:rStyle w:val="RefernciaDiscreta"/>
          <w:szCs w:val="16"/>
          <w:lang w:val="en-US"/>
        </w:rPr>
        <w:t xml:space="preserve">2013 </w:t>
      </w:r>
      <w:r w:rsidR="007E336C" w:rsidRPr="007E336C">
        <w:rPr>
          <w:rStyle w:val="RefernciaDiscreta"/>
          <w:szCs w:val="16"/>
          <w:lang w:val="en-US"/>
        </w:rPr>
        <w:t xml:space="preserve">consists of </w:t>
      </w:r>
      <w:r w:rsidRPr="007E336C">
        <w:rPr>
          <w:rStyle w:val="RefernciaDiscreta"/>
          <w:szCs w:val="16"/>
          <w:lang w:val="en-US"/>
        </w:rPr>
        <w:t>21 institu</w:t>
      </w:r>
      <w:r w:rsidR="007E336C" w:rsidRPr="007E336C">
        <w:rPr>
          <w:rStyle w:val="RefernciaDiscreta"/>
          <w:szCs w:val="16"/>
          <w:lang w:val="en-US"/>
        </w:rPr>
        <w:t>tions</w:t>
      </w:r>
      <w:r w:rsidRPr="007E336C">
        <w:rPr>
          <w:rStyle w:val="RefernciaDiscreta"/>
          <w:szCs w:val="16"/>
          <w:lang w:val="en-US"/>
        </w:rPr>
        <w:t xml:space="preserve">, </w:t>
      </w:r>
      <w:r w:rsidR="007E336C" w:rsidRPr="007E336C">
        <w:rPr>
          <w:rStyle w:val="RefernciaDiscreta"/>
          <w:szCs w:val="16"/>
          <w:lang w:val="en-US"/>
        </w:rPr>
        <w:t>for the BKI bank has</w:t>
      </w:r>
      <w:r w:rsidR="007E336C">
        <w:rPr>
          <w:rStyle w:val="RefernciaDiscreta"/>
          <w:szCs w:val="16"/>
          <w:lang w:val="en-US"/>
        </w:rPr>
        <w:t xml:space="preserve"> not been included for lack of data.</w:t>
      </w:r>
    </w:p>
  </w:footnote>
  <w:footnote w:id="3">
    <w:p w:rsidR="00791430" w:rsidRPr="002B450B" w:rsidRDefault="00791430" w:rsidP="00791430">
      <w:pPr>
        <w:pStyle w:val="Textodenotaderodap"/>
        <w:rPr>
          <w:rFonts w:ascii="HelveticaNeueLT Std Lt" w:hAnsi="HelveticaNeueLT Std Lt"/>
          <w:sz w:val="16"/>
          <w:szCs w:val="16"/>
          <w:lang w:val="en-US"/>
        </w:rPr>
      </w:pPr>
      <w:r w:rsidRPr="004D0BDA">
        <w:rPr>
          <w:rStyle w:val="Refdenotaderodap"/>
          <w:rFonts w:ascii="HelveticaNeueLT Std Lt" w:hAnsi="HelveticaNeueLT Std Lt"/>
          <w:sz w:val="16"/>
          <w:szCs w:val="16"/>
        </w:rPr>
        <w:footnoteRef/>
      </w:r>
      <w:r w:rsidRPr="002B450B">
        <w:rPr>
          <w:rFonts w:ascii="HelveticaNeueLT Std Lt" w:hAnsi="HelveticaNeueLT Std Lt"/>
          <w:sz w:val="16"/>
          <w:szCs w:val="16"/>
          <w:lang w:val="en-US"/>
        </w:rPr>
        <w:t xml:space="preserve"> The BNA defines the concept of stable establishment according to the </w:t>
      </w:r>
      <w:r>
        <w:rPr>
          <w:rFonts w:ascii="HelveticaNeueLT Std Lt" w:hAnsi="HelveticaNeueLT Std Lt"/>
          <w:sz w:val="16"/>
          <w:szCs w:val="16"/>
          <w:lang w:val="en-US"/>
        </w:rPr>
        <w:t xml:space="preserve">Law of Commercial Societies </w:t>
      </w:r>
      <w:r w:rsidRPr="002B450B">
        <w:rPr>
          <w:rFonts w:ascii="HelveticaNeueLT Std Lt" w:eastAsia="Times New Roman" w:hAnsi="HelveticaNeueLT Std Lt" w:cs="Times New Roman"/>
          <w:sz w:val="16"/>
          <w:szCs w:val="16"/>
          <w:lang w:val="en-US"/>
        </w:rPr>
        <w:t>(L</w:t>
      </w:r>
      <w:r>
        <w:rPr>
          <w:rFonts w:ascii="HelveticaNeueLT Std Lt" w:eastAsia="Times New Roman" w:hAnsi="HelveticaNeueLT Std Lt" w:cs="Times New Roman"/>
          <w:sz w:val="16"/>
          <w:szCs w:val="16"/>
          <w:lang w:val="en-US"/>
        </w:rPr>
        <w:t>aw</w:t>
      </w:r>
      <w:r w:rsidRPr="002B450B">
        <w:rPr>
          <w:rFonts w:ascii="HelveticaNeueLT Std Lt" w:eastAsia="Times New Roman" w:hAnsi="HelveticaNeueLT Std Lt" w:cs="Times New Roman"/>
          <w:sz w:val="16"/>
          <w:szCs w:val="16"/>
          <w:lang w:val="en-US"/>
        </w:rPr>
        <w:t xml:space="preserve"> n</w:t>
      </w:r>
      <w:r>
        <w:rPr>
          <w:rFonts w:ascii="HelveticaNeueLT Std Lt" w:eastAsia="Times New Roman" w:hAnsi="HelveticaNeueLT Std Lt" w:cs="Times New Roman"/>
          <w:sz w:val="16"/>
          <w:szCs w:val="16"/>
          <w:lang w:val="en-US"/>
        </w:rPr>
        <w:t>o.</w:t>
      </w:r>
      <w:r w:rsidRPr="002B450B">
        <w:rPr>
          <w:rFonts w:ascii="HelveticaNeueLT Std Lt" w:eastAsia="Times New Roman" w:hAnsi="HelveticaNeueLT Std Lt" w:cs="Times New Roman"/>
          <w:sz w:val="16"/>
          <w:szCs w:val="16"/>
          <w:lang w:val="en-US"/>
        </w:rPr>
        <w:t xml:space="preserve"> 4/2004)</w:t>
      </w:r>
    </w:p>
  </w:footnote>
  <w:footnote w:id="4">
    <w:p w:rsidR="00791430" w:rsidRPr="00A5728C" w:rsidRDefault="00791430" w:rsidP="00791430">
      <w:pPr>
        <w:pStyle w:val="Textodenotaderodap"/>
        <w:rPr>
          <w:rFonts w:ascii="HelveticaNeueLT Std Lt" w:hAnsi="HelveticaNeueLT Std Lt"/>
          <w:sz w:val="16"/>
          <w:szCs w:val="16"/>
          <w:lang w:val="en-US"/>
        </w:rPr>
      </w:pPr>
      <w:r w:rsidRPr="004D0BDA">
        <w:rPr>
          <w:rStyle w:val="Refdenotaderodap"/>
          <w:rFonts w:ascii="HelveticaNeueLT Std Lt" w:hAnsi="HelveticaNeueLT Std Lt"/>
          <w:sz w:val="16"/>
          <w:szCs w:val="16"/>
        </w:rPr>
        <w:footnoteRef/>
      </w:r>
      <w:r w:rsidRPr="00A5728C">
        <w:rPr>
          <w:rFonts w:ascii="HelveticaNeueLT Std Lt" w:hAnsi="HelveticaNeueLT Std Lt"/>
          <w:sz w:val="16"/>
          <w:szCs w:val="16"/>
          <w:lang w:val="en-US"/>
        </w:rPr>
        <w:t xml:space="preserve"> </w:t>
      </w:r>
      <w:r w:rsidRPr="002B450B">
        <w:rPr>
          <w:rFonts w:ascii="HelveticaNeueLT Std Lt" w:hAnsi="HelveticaNeueLT Std Lt"/>
          <w:sz w:val="16"/>
          <w:szCs w:val="16"/>
          <w:lang w:val="en-US"/>
        </w:rPr>
        <w:t xml:space="preserve">The BNA defines the concept of stable establishment according to the </w:t>
      </w:r>
      <w:r>
        <w:rPr>
          <w:rFonts w:ascii="HelveticaNeueLT Std Lt" w:hAnsi="HelveticaNeueLT Std Lt"/>
          <w:sz w:val="16"/>
          <w:szCs w:val="16"/>
          <w:lang w:val="en-US"/>
        </w:rPr>
        <w:t xml:space="preserve">Law of Commercial Societies </w:t>
      </w:r>
      <w:r w:rsidRPr="002B450B">
        <w:rPr>
          <w:rFonts w:ascii="HelveticaNeueLT Std Lt" w:eastAsia="Times New Roman" w:hAnsi="HelveticaNeueLT Std Lt" w:cs="Times New Roman"/>
          <w:sz w:val="16"/>
          <w:szCs w:val="16"/>
          <w:lang w:val="en-US"/>
        </w:rPr>
        <w:t>(L</w:t>
      </w:r>
      <w:r>
        <w:rPr>
          <w:rFonts w:ascii="HelveticaNeueLT Std Lt" w:eastAsia="Times New Roman" w:hAnsi="HelveticaNeueLT Std Lt" w:cs="Times New Roman"/>
          <w:sz w:val="16"/>
          <w:szCs w:val="16"/>
          <w:lang w:val="en-US"/>
        </w:rPr>
        <w:t>aw</w:t>
      </w:r>
      <w:r w:rsidRPr="002B450B">
        <w:rPr>
          <w:rFonts w:ascii="HelveticaNeueLT Std Lt" w:eastAsia="Times New Roman" w:hAnsi="HelveticaNeueLT Std Lt" w:cs="Times New Roman"/>
          <w:sz w:val="16"/>
          <w:szCs w:val="16"/>
          <w:lang w:val="en-US"/>
        </w:rPr>
        <w:t xml:space="preserve"> n</w:t>
      </w:r>
      <w:r>
        <w:rPr>
          <w:rFonts w:ascii="HelveticaNeueLT Std Lt" w:eastAsia="Times New Roman" w:hAnsi="HelveticaNeueLT Std Lt" w:cs="Times New Roman"/>
          <w:sz w:val="16"/>
          <w:szCs w:val="16"/>
          <w:lang w:val="en-US"/>
        </w:rPr>
        <w:t>o.</w:t>
      </w:r>
      <w:r w:rsidRPr="002B450B">
        <w:rPr>
          <w:rFonts w:ascii="HelveticaNeueLT Std Lt" w:eastAsia="Times New Roman" w:hAnsi="HelveticaNeueLT Std Lt" w:cs="Times New Roman"/>
          <w:sz w:val="16"/>
          <w:szCs w:val="16"/>
          <w:lang w:val="en-US"/>
        </w:rPr>
        <w:t xml:space="preserve"> 4/2004)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44CD"/>
    <w:multiLevelType w:val="hybridMultilevel"/>
    <w:tmpl w:val="516E5A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30BAD"/>
    <w:multiLevelType w:val="hybridMultilevel"/>
    <w:tmpl w:val="BC94F348"/>
    <w:lvl w:ilvl="0" w:tplc="8E1C3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E577C"/>
    <w:multiLevelType w:val="hybridMultilevel"/>
    <w:tmpl w:val="FA8EE4A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50B6DE7"/>
    <w:multiLevelType w:val="hybridMultilevel"/>
    <w:tmpl w:val="0158E8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619CC"/>
    <w:multiLevelType w:val="hybridMultilevel"/>
    <w:tmpl w:val="C9960F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DA"/>
    <w:rsid w:val="000050F3"/>
    <w:rsid w:val="00047C15"/>
    <w:rsid w:val="00082349"/>
    <w:rsid w:val="000A3685"/>
    <w:rsid w:val="000B407E"/>
    <w:rsid w:val="000E1C0A"/>
    <w:rsid w:val="000F7638"/>
    <w:rsid w:val="001177A0"/>
    <w:rsid w:val="00160213"/>
    <w:rsid w:val="00180E9E"/>
    <w:rsid w:val="001C2BFD"/>
    <w:rsid w:val="001E2016"/>
    <w:rsid w:val="001F4732"/>
    <w:rsid w:val="00203F2C"/>
    <w:rsid w:val="00271E0C"/>
    <w:rsid w:val="00295F3D"/>
    <w:rsid w:val="002B450B"/>
    <w:rsid w:val="002C55EE"/>
    <w:rsid w:val="00397E7D"/>
    <w:rsid w:val="003C51FC"/>
    <w:rsid w:val="003F2542"/>
    <w:rsid w:val="00406464"/>
    <w:rsid w:val="004115F9"/>
    <w:rsid w:val="004243E5"/>
    <w:rsid w:val="00426A2E"/>
    <w:rsid w:val="00430EBD"/>
    <w:rsid w:val="00480C9A"/>
    <w:rsid w:val="0049325F"/>
    <w:rsid w:val="004D0BDA"/>
    <w:rsid w:val="004E0620"/>
    <w:rsid w:val="00527680"/>
    <w:rsid w:val="00555582"/>
    <w:rsid w:val="006044C6"/>
    <w:rsid w:val="00607892"/>
    <w:rsid w:val="006238FB"/>
    <w:rsid w:val="00634713"/>
    <w:rsid w:val="006411CD"/>
    <w:rsid w:val="006513B1"/>
    <w:rsid w:val="00672EB6"/>
    <w:rsid w:val="00770FD1"/>
    <w:rsid w:val="00791430"/>
    <w:rsid w:val="007D7E9C"/>
    <w:rsid w:val="007E336C"/>
    <w:rsid w:val="007F7651"/>
    <w:rsid w:val="008138E1"/>
    <w:rsid w:val="0083601F"/>
    <w:rsid w:val="009347B8"/>
    <w:rsid w:val="009776B8"/>
    <w:rsid w:val="009A5333"/>
    <w:rsid w:val="00A3173C"/>
    <w:rsid w:val="00A45A1B"/>
    <w:rsid w:val="00A5728C"/>
    <w:rsid w:val="00A719A5"/>
    <w:rsid w:val="00AF4432"/>
    <w:rsid w:val="00B86C6B"/>
    <w:rsid w:val="00B93FAA"/>
    <w:rsid w:val="00BC535A"/>
    <w:rsid w:val="00BE2BD9"/>
    <w:rsid w:val="00BF0FAA"/>
    <w:rsid w:val="00BF1D78"/>
    <w:rsid w:val="00C065F9"/>
    <w:rsid w:val="00C21D93"/>
    <w:rsid w:val="00C53DD0"/>
    <w:rsid w:val="00C739E6"/>
    <w:rsid w:val="00C91C7C"/>
    <w:rsid w:val="00CB5CB4"/>
    <w:rsid w:val="00CB7DE6"/>
    <w:rsid w:val="00CC1892"/>
    <w:rsid w:val="00DE4825"/>
    <w:rsid w:val="00E31139"/>
    <w:rsid w:val="00E6422A"/>
    <w:rsid w:val="00EC0566"/>
    <w:rsid w:val="00ED3401"/>
    <w:rsid w:val="00F35A89"/>
    <w:rsid w:val="00F9002F"/>
    <w:rsid w:val="00FC45FD"/>
    <w:rsid w:val="00FD4EDA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DA"/>
    <w:pPr>
      <w:spacing w:after="0" w:line="360" w:lineRule="auto"/>
      <w:jc w:val="both"/>
    </w:pPr>
    <w:rPr>
      <w:rFonts w:ascii="HelveticaNeueLT Std Lt" w:eastAsiaTheme="minorEastAsia" w:hAnsi="HelveticaNeueLT Std Lt"/>
      <w:lang w:eastAsia="pt-PT"/>
    </w:rPr>
  </w:style>
  <w:style w:type="paragraph" w:styleId="Cabealho1">
    <w:name w:val="heading 1"/>
    <w:basedOn w:val="Normal"/>
    <w:next w:val="Normal"/>
    <w:link w:val="Cabealho1Carcter1"/>
    <w:uiPriority w:val="9"/>
    <w:qFormat/>
    <w:rsid w:val="004D0BDA"/>
    <w:pPr>
      <w:keepNext/>
      <w:keepLines/>
      <w:spacing w:before="480"/>
      <w:outlineLvl w:val="0"/>
    </w:pPr>
    <w:rPr>
      <w:rFonts w:eastAsiaTheme="majorEastAsia" w:cstheme="majorBidi"/>
      <w:b/>
      <w:bCs/>
      <w:color w:val="D81F2A"/>
      <w:sz w:val="28"/>
      <w:szCs w:val="28"/>
    </w:rPr>
  </w:style>
  <w:style w:type="paragraph" w:styleId="Cabealho2">
    <w:name w:val="heading 2"/>
    <w:basedOn w:val="Normal"/>
    <w:next w:val="Normal"/>
    <w:link w:val="Cabealho2Carcter1"/>
    <w:uiPriority w:val="9"/>
    <w:unhideWhenUsed/>
    <w:qFormat/>
    <w:rsid w:val="004D0BDA"/>
    <w:pPr>
      <w:keepNext/>
      <w:keepLines/>
      <w:spacing w:before="200"/>
      <w:outlineLvl w:val="1"/>
    </w:pPr>
    <w:rPr>
      <w:rFonts w:eastAsiaTheme="majorEastAsia" w:cstheme="majorBidi"/>
      <w:b/>
      <w:bCs/>
      <w:color w:val="D81F2A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uiPriority w:val="9"/>
    <w:rsid w:val="004D0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Cabealho2Carcter">
    <w:name w:val="Cabeçalho 2 Carácter"/>
    <w:basedOn w:val="Tipodeletrapredefinidodopargrafo"/>
    <w:uiPriority w:val="9"/>
    <w:semiHidden/>
    <w:rsid w:val="004D0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Cabealho1Carcter1">
    <w:name w:val="Cabeçalho 1 Carácter1"/>
    <w:basedOn w:val="Tipodeletrapredefinidodopargrafo"/>
    <w:link w:val="Cabealho1"/>
    <w:uiPriority w:val="9"/>
    <w:rsid w:val="004D0BDA"/>
    <w:rPr>
      <w:rFonts w:ascii="HelveticaNeueLT Std Lt" w:eastAsiaTheme="majorEastAsia" w:hAnsi="HelveticaNeueLT Std Lt" w:cstheme="majorBidi"/>
      <w:b/>
      <w:bCs/>
      <w:color w:val="D81F2A"/>
      <w:sz w:val="28"/>
      <w:szCs w:val="28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4D0BDA"/>
    <w:rPr>
      <w:rFonts w:asciiTheme="majorHAnsi" w:eastAsiaTheme="minorEastAsia" w:hAnsiTheme="majorHAnsi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nhideWhenUsed/>
    <w:rsid w:val="004D0BDA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4D0BDA"/>
    <w:pPr>
      <w:keepNext/>
    </w:pPr>
    <w:rPr>
      <w:b/>
      <w:bCs/>
      <w:noProof/>
      <w:szCs w:val="18"/>
    </w:rPr>
  </w:style>
  <w:style w:type="paragraph" w:styleId="PargrafodaLista">
    <w:name w:val="List Paragraph"/>
    <w:basedOn w:val="Normal"/>
    <w:uiPriority w:val="34"/>
    <w:qFormat/>
    <w:rsid w:val="004D0BDA"/>
    <w:pPr>
      <w:ind w:left="720"/>
      <w:contextualSpacing/>
    </w:pPr>
  </w:style>
  <w:style w:type="character" w:customStyle="1" w:styleId="Cabealho2Carcter1">
    <w:name w:val="Cabeçalho 2 Carácter1"/>
    <w:basedOn w:val="Tipodeletrapredefinidodopargrafo"/>
    <w:link w:val="Cabealho2"/>
    <w:uiPriority w:val="9"/>
    <w:rsid w:val="004D0BDA"/>
    <w:rPr>
      <w:rFonts w:ascii="HelveticaNeueLT Std Lt" w:eastAsiaTheme="majorEastAsia" w:hAnsi="HelveticaNeueLT Std Lt" w:cstheme="majorBidi"/>
      <w:b/>
      <w:bCs/>
      <w:color w:val="D81F2A"/>
      <w:sz w:val="26"/>
      <w:szCs w:val="26"/>
      <w:lang w:eastAsia="pt-PT"/>
    </w:rPr>
  </w:style>
  <w:style w:type="paragraph" w:styleId="Citao">
    <w:name w:val="Quote"/>
    <w:basedOn w:val="Normal"/>
    <w:next w:val="Normal"/>
    <w:link w:val="CitaoCarcter"/>
    <w:uiPriority w:val="29"/>
    <w:qFormat/>
    <w:rsid w:val="004D0BDA"/>
    <w:pPr>
      <w:spacing w:before="240" w:after="240"/>
      <w:contextualSpacing/>
      <w:jc w:val="right"/>
    </w:pPr>
    <w:rPr>
      <w:i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4D0BDA"/>
    <w:rPr>
      <w:rFonts w:ascii="HelveticaNeueLT Std Lt" w:eastAsiaTheme="minorEastAsia" w:hAnsi="HelveticaNeueLT Std Lt"/>
      <w:i/>
      <w:lang w:eastAsia="pt-PT"/>
    </w:rPr>
  </w:style>
  <w:style w:type="character" w:styleId="Forte">
    <w:name w:val="Strong"/>
    <w:basedOn w:val="Tipodeletrapredefinidodopargrafo"/>
    <w:uiPriority w:val="22"/>
    <w:qFormat/>
    <w:rsid w:val="004D0BDA"/>
    <w:rPr>
      <w:b/>
      <w:bCs/>
    </w:rPr>
  </w:style>
  <w:style w:type="table" w:customStyle="1" w:styleId="ABANC">
    <w:name w:val="ABANC"/>
    <w:basedOn w:val="Tabelanormal"/>
    <w:uiPriority w:val="99"/>
    <w:rsid w:val="004D0BDA"/>
    <w:pPr>
      <w:spacing w:after="0" w:line="240" w:lineRule="auto"/>
    </w:pPr>
    <w:rPr>
      <w:rFonts w:eastAsiaTheme="minorEastAsia"/>
      <w:lang w:eastAsia="pt-PT"/>
    </w:rPr>
    <w:tblPr>
      <w:tblStyleRowBandSize w:val="1"/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Theme="majorHAnsi" w:hAnsiTheme="majorHAnsi"/>
        <w:sz w:val="20"/>
      </w:rPr>
      <w:tblPr/>
      <w:tcPr>
        <w:tcBorders>
          <w:top w:val="single" w:sz="4" w:space="0" w:color="auto"/>
          <w:bottom w:val="single" w:sz="4" w:space="0" w:color="auto"/>
        </w:tcBorders>
        <w:shd w:val="clear" w:color="auto" w:fill="ED1C24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right"/>
      </w:pPr>
      <w:tblPr/>
      <w:tcPr>
        <w:vAlign w:val="center"/>
      </w:tcPr>
    </w:tblStylePr>
    <w:tblStylePr w:type="band2Horz">
      <w:pPr>
        <w:jc w:val="right"/>
      </w:pPr>
      <w:tblPr/>
      <w:tcPr>
        <w:vAlign w:val="center"/>
      </w:tcPr>
    </w:tblStylePr>
  </w:style>
  <w:style w:type="paragraph" w:styleId="Textodenotaderodap">
    <w:name w:val="footnote text"/>
    <w:basedOn w:val="Normal"/>
    <w:link w:val="TextodenotaderodapCarcter"/>
    <w:uiPriority w:val="99"/>
    <w:unhideWhenUsed/>
    <w:rsid w:val="004D0BDA"/>
    <w:pPr>
      <w:spacing w:line="240" w:lineRule="auto"/>
    </w:pPr>
    <w:rPr>
      <w:rFonts w:asciiTheme="majorHAnsi" w:hAnsiTheme="majorHAnsi"/>
      <w:sz w:val="20"/>
      <w:szCs w:val="20"/>
    </w:rPr>
  </w:style>
  <w:style w:type="character" w:customStyle="1" w:styleId="TextodenotaderodapCarcter1">
    <w:name w:val="Texto de nota de rodapé Carácter1"/>
    <w:basedOn w:val="Tipodeletrapredefinidodopargrafo"/>
    <w:uiPriority w:val="99"/>
    <w:semiHidden/>
    <w:rsid w:val="004D0BDA"/>
    <w:rPr>
      <w:rFonts w:ascii="HelveticaNeueLT Std Lt" w:eastAsiaTheme="minorEastAsia" w:hAnsi="HelveticaNeueLT Std Lt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D0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0BDA"/>
    <w:rPr>
      <w:rFonts w:ascii="Tahoma" w:eastAsiaTheme="minorEastAsia" w:hAnsi="Tahoma" w:cs="Tahoma"/>
      <w:sz w:val="16"/>
      <w:szCs w:val="16"/>
      <w:lang w:eastAsia="pt-PT"/>
    </w:rPr>
  </w:style>
  <w:style w:type="character" w:styleId="RefernciaDiscreta">
    <w:name w:val="Subtle Reference"/>
    <w:aliases w:val="Nota de Rodapé"/>
    <w:uiPriority w:val="31"/>
    <w:qFormat/>
    <w:rsid w:val="00FD4EDA"/>
    <w:rPr>
      <w:rFonts w:ascii="HelveticaNeueLT Std Lt" w:hAnsi="HelveticaNeueLT Std Lt"/>
      <w:sz w:val="16"/>
    </w:rPr>
  </w:style>
  <w:style w:type="paragraph" w:customStyle="1" w:styleId="Fontes">
    <w:name w:val="Fontes"/>
    <w:basedOn w:val="Normal"/>
    <w:link w:val="FontesChar"/>
    <w:qFormat/>
    <w:rsid w:val="00FD4EDA"/>
    <w:rPr>
      <w:sz w:val="18"/>
    </w:rPr>
  </w:style>
  <w:style w:type="character" w:customStyle="1" w:styleId="FontesChar">
    <w:name w:val="Fontes Char"/>
    <w:basedOn w:val="Tipodeletrapredefinidodopargrafo"/>
    <w:link w:val="Fontes"/>
    <w:rsid w:val="00FD4EDA"/>
    <w:rPr>
      <w:rFonts w:ascii="HelveticaNeueLT Std Lt" w:eastAsiaTheme="minorEastAsia" w:hAnsi="HelveticaNeueLT Std Lt"/>
      <w:sz w:val="18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DA"/>
    <w:pPr>
      <w:spacing w:after="0" w:line="360" w:lineRule="auto"/>
      <w:jc w:val="both"/>
    </w:pPr>
    <w:rPr>
      <w:rFonts w:ascii="HelveticaNeueLT Std Lt" w:eastAsiaTheme="minorEastAsia" w:hAnsi="HelveticaNeueLT Std Lt"/>
      <w:lang w:eastAsia="pt-PT"/>
    </w:rPr>
  </w:style>
  <w:style w:type="paragraph" w:styleId="Cabealho1">
    <w:name w:val="heading 1"/>
    <w:basedOn w:val="Normal"/>
    <w:next w:val="Normal"/>
    <w:link w:val="Cabealho1Carcter1"/>
    <w:uiPriority w:val="9"/>
    <w:qFormat/>
    <w:rsid w:val="004D0BDA"/>
    <w:pPr>
      <w:keepNext/>
      <w:keepLines/>
      <w:spacing w:before="480"/>
      <w:outlineLvl w:val="0"/>
    </w:pPr>
    <w:rPr>
      <w:rFonts w:eastAsiaTheme="majorEastAsia" w:cstheme="majorBidi"/>
      <w:b/>
      <w:bCs/>
      <w:color w:val="D81F2A"/>
      <w:sz w:val="28"/>
      <w:szCs w:val="28"/>
    </w:rPr>
  </w:style>
  <w:style w:type="paragraph" w:styleId="Cabealho2">
    <w:name w:val="heading 2"/>
    <w:basedOn w:val="Normal"/>
    <w:next w:val="Normal"/>
    <w:link w:val="Cabealho2Carcter1"/>
    <w:uiPriority w:val="9"/>
    <w:unhideWhenUsed/>
    <w:qFormat/>
    <w:rsid w:val="004D0BDA"/>
    <w:pPr>
      <w:keepNext/>
      <w:keepLines/>
      <w:spacing w:before="200"/>
      <w:outlineLvl w:val="1"/>
    </w:pPr>
    <w:rPr>
      <w:rFonts w:eastAsiaTheme="majorEastAsia" w:cstheme="majorBidi"/>
      <w:b/>
      <w:bCs/>
      <w:color w:val="D81F2A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uiPriority w:val="9"/>
    <w:rsid w:val="004D0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Cabealho2Carcter">
    <w:name w:val="Cabeçalho 2 Carácter"/>
    <w:basedOn w:val="Tipodeletrapredefinidodopargrafo"/>
    <w:uiPriority w:val="9"/>
    <w:semiHidden/>
    <w:rsid w:val="004D0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Cabealho1Carcter1">
    <w:name w:val="Cabeçalho 1 Carácter1"/>
    <w:basedOn w:val="Tipodeletrapredefinidodopargrafo"/>
    <w:link w:val="Cabealho1"/>
    <w:uiPriority w:val="9"/>
    <w:rsid w:val="004D0BDA"/>
    <w:rPr>
      <w:rFonts w:ascii="HelveticaNeueLT Std Lt" w:eastAsiaTheme="majorEastAsia" w:hAnsi="HelveticaNeueLT Std Lt" w:cstheme="majorBidi"/>
      <w:b/>
      <w:bCs/>
      <w:color w:val="D81F2A"/>
      <w:sz w:val="28"/>
      <w:szCs w:val="28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4D0BDA"/>
    <w:rPr>
      <w:rFonts w:asciiTheme="majorHAnsi" w:eastAsiaTheme="minorEastAsia" w:hAnsiTheme="majorHAnsi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nhideWhenUsed/>
    <w:rsid w:val="004D0BDA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4D0BDA"/>
    <w:pPr>
      <w:keepNext/>
    </w:pPr>
    <w:rPr>
      <w:b/>
      <w:bCs/>
      <w:noProof/>
      <w:szCs w:val="18"/>
    </w:rPr>
  </w:style>
  <w:style w:type="paragraph" w:styleId="PargrafodaLista">
    <w:name w:val="List Paragraph"/>
    <w:basedOn w:val="Normal"/>
    <w:uiPriority w:val="34"/>
    <w:qFormat/>
    <w:rsid w:val="004D0BDA"/>
    <w:pPr>
      <w:ind w:left="720"/>
      <w:contextualSpacing/>
    </w:pPr>
  </w:style>
  <w:style w:type="character" w:customStyle="1" w:styleId="Cabealho2Carcter1">
    <w:name w:val="Cabeçalho 2 Carácter1"/>
    <w:basedOn w:val="Tipodeletrapredefinidodopargrafo"/>
    <w:link w:val="Cabealho2"/>
    <w:uiPriority w:val="9"/>
    <w:rsid w:val="004D0BDA"/>
    <w:rPr>
      <w:rFonts w:ascii="HelveticaNeueLT Std Lt" w:eastAsiaTheme="majorEastAsia" w:hAnsi="HelveticaNeueLT Std Lt" w:cstheme="majorBidi"/>
      <w:b/>
      <w:bCs/>
      <w:color w:val="D81F2A"/>
      <w:sz w:val="26"/>
      <w:szCs w:val="26"/>
      <w:lang w:eastAsia="pt-PT"/>
    </w:rPr>
  </w:style>
  <w:style w:type="paragraph" w:styleId="Citao">
    <w:name w:val="Quote"/>
    <w:basedOn w:val="Normal"/>
    <w:next w:val="Normal"/>
    <w:link w:val="CitaoCarcter"/>
    <w:uiPriority w:val="29"/>
    <w:qFormat/>
    <w:rsid w:val="004D0BDA"/>
    <w:pPr>
      <w:spacing w:before="240" w:after="240"/>
      <w:contextualSpacing/>
      <w:jc w:val="right"/>
    </w:pPr>
    <w:rPr>
      <w:i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4D0BDA"/>
    <w:rPr>
      <w:rFonts w:ascii="HelveticaNeueLT Std Lt" w:eastAsiaTheme="minorEastAsia" w:hAnsi="HelveticaNeueLT Std Lt"/>
      <w:i/>
      <w:lang w:eastAsia="pt-PT"/>
    </w:rPr>
  </w:style>
  <w:style w:type="character" w:styleId="Forte">
    <w:name w:val="Strong"/>
    <w:basedOn w:val="Tipodeletrapredefinidodopargrafo"/>
    <w:uiPriority w:val="22"/>
    <w:qFormat/>
    <w:rsid w:val="004D0BDA"/>
    <w:rPr>
      <w:b/>
      <w:bCs/>
    </w:rPr>
  </w:style>
  <w:style w:type="table" w:customStyle="1" w:styleId="ABANC">
    <w:name w:val="ABANC"/>
    <w:basedOn w:val="Tabelanormal"/>
    <w:uiPriority w:val="99"/>
    <w:rsid w:val="004D0BDA"/>
    <w:pPr>
      <w:spacing w:after="0" w:line="240" w:lineRule="auto"/>
    </w:pPr>
    <w:rPr>
      <w:rFonts w:eastAsiaTheme="minorEastAsia"/>
      <w:lang w:eastAsia="pt-PT"/>
    </w:rPr>
    <w:tblPr>
      <w:tblStyleRowBandSize w:val="1"/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Theme="majorHAnsi" w:hAnsiTheme="majorHAnsi"/>
        <w:sz w:val="20"/>
      </w:rPr>
      <w:tblPr/>
      <w:tcPr>
        <w:tcBorders>
          <w:top w:val="single" w:sz="4" w:space="0" w:color="auto"/>
          <w:bottom w:val="single" w:sz="4" w:space="0" w:color="auto"/>
        </w:tcBorders>
        <w:shd w:val="clear" w:color="auto" w:fill="ED1C24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right"/>
      </w:pPr>
      <w:tblPr/>
      <w:tcPr>
        <w:vAlign w:val="center"/>
      </w:tcPr>
    </w:tblStylePr>
    <w:tblStylePr w:type="band2Horz">
      <w:pPr>
        <w:jc w:val="right"/>
      </w:pPr>
      <w:tblPr/>
      <w:tcPr>
        <w:vAlign w:val="center"/>
      </w:tcPr>
    </w:tblStylePr>
  </w:style>
  <w:style w:type="paragraph" w:styleId="Textodenotaderodap">
    <w:name w:val="footnote text"/>
    <w:basedOn w:val="Normal"/>
    <w:link w:val="TextodenotaderodapCarcter"/>
    <w:uiPriority w:val="99"/>
    <w:unhideWhenUsed/>
    <w:rsid w:val="004D0BDA"/>
    <w:pPr>
      <w:spacing w:line="240" w:lineRule="auto"/>
    </w:pPr>
    <w:rPr>
      <w:rFonts w:asciiTheme="majorHAnsi" w:hAnsiTheme="majorHAnsi"/>
      <w:sz w:val="20"/>
      <w:szCs w:val="20"/>
    </w:rPr>
  </w:style>
  <w:style w:type="character" w:customStyle="1" w:styleId="TextodenotaderodapCarcter1">
    <w:name w:val="Texto de nota de rodapé Carácter1"/>
    <w:basedOn w:val="Tipodeletrapredefinidodopargrafo"/>
    <w:uiPriority w:val="99"/>
    <w:semiHidden/>
    <w:rsid w:val="004D0BDA"/>
    <w:rPr>
      <w:rFonts w:ascii="HelveticaNeueLT Std Lt" w:eastAsiaTheme="minorEastAsia" w:hAnsi="HelveticaNeueLT Std Lt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D0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0BDA"/>
    <w:rPr>
      <w:rFonts w:ascii="Tahoma" w:eastAsiaTheme="minorEastAsia" w:hAnsi="Tahoma" w:cs="Tahoma"/>
      <w:sz w:val="16"/>
      <w:szCs w:val="16"/>
      <w:lang w:eastAsia="pt-PT"/>
    </w:rPr>
  </w:style>
  <w:style w:type="character" w:styleId="RefernciaDiscreta">
    <w:name w:val="Subtle Reference"/>
    <w:aliases w:val="Nota de Rodapé"/>
    <w:uiPriority w:val="31"/>
    <w:qFormat/>
    <w:rsid w:val="00FD4EDA"/>
    <w:rPr>
      <w:rFonts w:ascii="HelveticaNeueLT Std Lt" w:hAnsi="HelveticaNeueLT Std Lt"/>
      <w:sz w:val="16"/>
    </w:rPr>
  </w:style>
  <w:style w:type="paragraph" w:customStyle="1" w:styleId="Fontes">
    <w:name w:val="Fontes"/>
    <w:basedOn w:val="Normal"/>
    <w:link w:val="FontesChar"/>
    <w:qFormat/>
    <w:rsid w:val="00FD4EDA"/>
    <w:rPr>
      <w:sz w:val="18"/>
    </w:rPr>
  </w:style>
  <w:style w:type="character" w:customStyle="1" w:styleId="FontesChar">
    <w:name w:val="Fontes Char"/>
    <w:basedOn w:val="Tipodeletrapredefinidodopargrafo"/>
    <w:link w:val="Fontes"/>
    <w:rsid w:val="00FD4EDA"/>
    <w:rPr>
      <w:rFonts w:ascii="HelveticaNeueLT Std Lt" w:eastAsiaTheme="minorEastAsia" w:hAnsi="HelveticaNeueLT Std Lt"/>
      <w:sz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B:\Dropbox\Grupo%20T&#233;cnico%20-%20ABANC\Base%20de%20Dados%20ABANC\Relat&#243;rios\An&#225;lise%20do%20Activo%20Agregado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[Análise do Activo Agregado 2013.xlsx]RANKINGS 2013!Tabela dinâmica2</c:name>
    <c:fmtId val="-1"/>
  </c:pivotSource>
  <c:chart>
    <c:autoTitleDeleted val="0"/>
    <c:pivotFmts>
      <c:pivotFmt>
        <c:idx val="0"/>
        <c:spPr>
          <a:solidFill>
            <a:srgbClr val="D9261A"/>
          </a:solidFill>
        </c:spPr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</c:pivotFmt>
      <c:pivotFmt>
        <c:idx val="3"/>
      </c:pivotFmt>
      <c:pivotFmt>
        <c:idx val="4"/>
        <c:spPr>
          <a:solidFill>
            <a:srgbClr val="FFC000"/>
          </a:solidFill>
        </c:spPr>
      </c:pivotFmt>
      <c:pivotFmt>
        <c:idx val="5"/>
        <c:spPr>
          <a:solidFill>
            <a:srgbClr val="FFC000"/>
          </a:solidFill>
        </c:spPr>
      </c:pivotFmt>
      <c:pivotFmt>
        <c:idx val="6"/>
        <c:spPr>
          <a:solidFill>
            <a:srgbClr val="FFC000"/>
          </a:solidFill>
        </c:spPr>
      </c:pivotFmt>
      <c:pivotFmt>
        <c:idx val="7"/>
        <c:spPr>
          <a:solidFill>
            <a:srgbClr val="FFC000"/>
          </a:solidFill>
        </c:spPr>
      </c:pivotFmt>
      <c:pivotFmt>
        <c:idx val="8"/>
        <c:spPr>
          <a:solidFill>
            <a:srgbClr val="FFC000"/>
          </a:solidFill>
        </c:spPr>
      </c:pivotFmt>
      <c:pivotFmt>
        <c:idx val="9"/>
        <c:spPr>
          <a:solidFill>
            <a:srgbClr val="FFC000"/>
          </a:solidFill>
        </c:spPr>
      </c:pivotFmt>
      <c:pivotFmt>
        <c:idx val="10"/>
        <c:spPr>
          <a:solidFill>
            <a:srgbClr val="FFC000"/>
          </a:solidFill>
        </c:spPr>
      </c:pivotFmt>
      <c:pivotFmt>
        <c:idx val="11"/>
        <c:spPr>
          <a:solidFill>
            <a:srgbClr val="FFC000"/>
          </a:solidFill>
        </c:spPr>
      </c:pivotFmt>
      <c:pivotFmt>
        <c:idx val="12"/>
        <c:spPr>
          <a:solidFill>
            <a:srgbClr val="002060"/>
          </a:solidFill>
        </c:spPr>
      </c:pivotFmt>
      <c:pivotFmt>
        <c:idx val="13"/>
        <c:spPr>
          <a:solidFill>
            <a:srgbClr val="002060"/>
          </a:solidFill>
        </c:spPr>
      </c:pivotFmt>
      <c:pivotFmt>
        <c:idx val="14"/>
        <c:spPr>
          <a:solidFill>
            <a:srgbClr val="002060"/>
          </a:solidFill>
        </c:spPr>
      </c:pivotFmt>
      <c:pivotFmt>
        <c:idx val="15"/>
        <c:spPr>
          <a:solidFill>
            <a:srgbClr val="002060"/>
          </a:solidFill>
        </c:spPr>
      </c:pivotFmt>
      <c:pivotFmt>
        <c:idx val="16"/>
        <c:spPr>
          <a:solidFill>
            <a:srgbClr val="002060"/>
          </a:solidFill>
        </c:spPr>
      </c:pivotFmt>
      <c:pivotFmt>
        <c:idx val="17"/>
        <c:spPr>
          <a:solidFill>
            <a:srgbClr val="002060"/>
          </a:solidFill>
        </c:spPr>
      </c:pivotFmt>
      <c:pivotFmt>
        <c:idx val="18"/>
        <c:spPr>
          <a:solidFill>
            <a:srgbClr val="FFC000"/>
          </a:solidFill>
        </c:spPr>
      </c:pivotFmt>
      <c:pivotFmt>
        <c:idx val="19"/>
        <c:spPr>
          <a:solidFill>
            <a:srgbClr val="002060"/>
          </a:solidFill>
        </c:spPr>
      </c:pivotFmt>
      <c:pivotFmt>
        <c:idx val="20"/>
        <c:spPr>
          <a:solidFill>
            <a:srgbClr val="D9261A"/>
          </a:solidFill>
        </c:spPr>
        <c:marker>
          <c:symbol val="none"/>
        </c:marker>
      </c:pivotFmt>
      <c:pivotFmt>
        <c:idx val="21"/>
        <c:spPr>
          <a:solidFill>
            <a:srgbClr val="FFC000"/>
          </a:solidFill>
        </c:spPr>
      </c:pivotFmt>
      <c:pivotFmt>
        <c:idx val="22"/>
        <c:spPr>
          <a:solidFill>
            <a:srgbClr val="FFC000"/>
          </a:solidFill>
        </c:spPr>
      </c:pivotFmt>
      <c:pivotFmt>
        <c:idx val="23"/>
        <c:spPr>
          <a:solidFill>
            <a:srgbClr val="FFC000"/>
          </a:solidFill>
        </c:spPr>
      </c:pivotFmt>
      <c:pivotFmt>
        <c:idx val="24"/>
        <c:spPr>
          <a:solidFill>
            <a:srgbClr val="FFC000"/>
          </a:solidFill>
        </c:spPr>
      </c:pivotFmt>
      <c:pivotFmt>
        <c:idx val="25"/>
        <c:spPr>
          <a:solidFill>
            <a:srgbClr val="FFC000"/>
          </a:solidFill>
        </c:spPr>
      </c:pivotFmt>
      <c:pivotFmt>
        <c:idx val="26"/>
        <c:spPr>
          <a:solidFill>
            <a:srgbClr val="FFC000"/>
          </a:solidFill>
        </c:spPr>
      </c:pivotFmt>
      <c:pivotFmt>
        <c:idx val="27"/>
        <c:spPr>
          <a:solidFill>
            <a:srgbClr val="FFC000"/>
          </a:solidFill>
        </c:spPr>
      </c:pivotFmt>
      <c:pivotFmt>
        <c:idx val="28"/>
        <c:spPr>
          <a:solidFill>
            <a:srgbClr val="FFC000"/>
          </a:solidFill>
        </c:spPr>
      </c:pivotFmt>
      <c:pivotFmt>
        <c:idx val="29"/>
        <c:spPr>
          <a:solidFill>
            <a:srgbClr val="FFC000"/>
          </a:solidFill>
        </c:spPr>
      </c:pivotFmt>
      <c:pivotFmt>
        <c:idx val="30"/>
        <c:spPr>
          <a:solidFill>
            <a:srgbClr val="002060"/>
          </a:solidFill>
        </c:spPr>
      </c:pivotFmt>
      <c:pivotFmt>
        <c:idx val="31"/>
        <c:spPr>
          <a:solidFill>
            <a:srgbClr val="002060"/>
          </a:solidFill>
        </c:spPr>
      </c:pivotFmt>
      <c:pivotFmt>
        <c:idx val="32"/>
        <c:spPr>
          <a:solidFill>
            <a:srgbClr val="002060"/>
          </a:solidFill>
        </c:spPr>
      </c:pivotFmt>
      <c:pivotFmt>
        <c:idx val="33"/>
        <c:spPr>
          <a:solidFill>
            <a:srgbClr val="002060"/>
          </a:solidFill>
        </c:spPr>
      </c:pivotFmt>
      <c:pivotFmt>
        <c:idx val="34"/>
        <c:spPr>
          <a:solidFill>
            <a:srgbClr val="002060"/>
          </a:solidFill>
        </c:spPr>
      </c:pivotFmt>
      <c:pivotFmt>
        <c:idx val="35"/>
        <c:spPr>
          <a:solidFill>
            <a:srgbClr val="002060"/>
          </a:solidFill>
        </c:spPr>
      </c:pivotFmt>
      <c:pivotFmt>
        <c:idx val="36"/>
        <c:spPr>
          <a:solidFill>
            <a:srgbClr val="002060"/>
          </a:solidFill>
        </c:spPr>
      </c:pivotFmt>
      <c:pivotFmt>
        <c:idx val="37"/>
        <c:marker>
          <c:symbol val="none"/>
        </c:marker>
      </c:pivotFmt>
      <c:pivotFmt>
        <c:idx val="38"/>
        <c:spPr>
          <a:solidFill>
            <a:srgbClr val="D9261A"/>
          </a:solidFill>
        </c:spPr>
        <c:marker>
          <c:symbol val="none"/>
        </c:marker>
      </c:pivotFmt>
      <c:pivotFmt>
        <c:idx val="39"/>
        <c:spPr>
          <a:solidFill>
            <a:srgbClr val="FFC000"/>
          </a:solidFill>
        </c:spPr>
      </c:pivotFmt>
      <c:pivotFmt>
        <c:idx val="40"/>
        <c:spPr>
          <a:solidFill>
            <a:srgbClr val="FFC000"/>
          </a:solidFill>
        </c:spPr>
      </c:pivotFmt>
      <c:pivotFmt>
        <c:idx val="41"/>
        <c:spPr>
          <a:solidFill>
            <a:srgbClr val="FFC000"/>
          </a:solidFill>
        </c:spPr>
      </c:pivotFmt>
      <c:pivotFmt>
        <c:idx val="42"/>
        <c:spPr>
          <a:solidFill>
            <a:srgbClr val="FFC000"/>
          </a:solidFill>
        </c:spPr>
      </c:pivotFmt>
      <c:pivotFmt>
        <c:idx val="43"/>
        <c:spPr>
          <a:solidFill>
            <a:srgbClr val="FFC000"/>
          </a:solidFill>
        </c:spPr>
      </c:pivotFmt>
      <c:pivotFmt>
        <c:idx val="44"/>
        <c:spPr>
          <a:solidFill>
            <a:srgbClr val="FFC000"/>
          </a:solidFill>
        </c:spPr>
      </c:pivotFmt>
      <c:pivotFmt>
        <c:idx val="45"/>
        <c:spPr>
          <a:solidFill>
            <a:srgbClr val="FFC000"/>
          </a:solidFill>
        </c:spPr>
      </c:pivotFmt>
      <c:pivotFmt>
        <c:idx val="46"/>
        <c:spPr>
          <a:solidFill>
            <a:srgbClr val="FFC000"/>
          </a:solidFill>
        </c:spPr>
      </c:pivotFmt>
      <c:pivotFmt>
        <c:idx val="47"/>
        <c:spPr>
          <a:solidFill>
            <a:srgbClr val="FFC000"/>
          </a:solidFill>
        </c:spPr>
      </c:pivotFmt>
      <c:pivotFmt>
        <c:idx val="48"/>
        <c:spPr>
          <a:solidFill>
            <a:srgbClr val="002060"/>
          </a:solidFill>
        </c:spPr>
      </c:pivotFmt>
      <c:pivotFmt>
        <c:idx val="49"/>
        <c:spPr>
          <a:solidFill>
            <a:srgbClr val="002060"/>
          </a:solidFill>
        </c:spPr>
      </c:pivotFmt>
      <c:pivotFmt>
        <c:idx val="50"/>
        <c:spPr>
          <a:solidFill>
            <a:srgbClr val="002060"/>
          </a:solidFill>
        </c:spPr>
      </c:pivotFmt>
      <c:pivotFmt>
        <c:idx val="51"/>
        <c:spPr>
          <a:solidFill>
            <a:srgbClr val="002060"/>
          </a:solidFill>
        </c:spPr>
      </c:pivotFmt>
      <c:pivotFmt>
        <c:idx val="52"/>
        <c:spPr>
          <a:solidFill>
            <a:srgbClr val="002060"/>
          </a:solidFill>
        </c:spPr>
      </c:pivotFmt>
      <c:pivotFmt>
        <c:idx val="53"/>
        <c:spPr>
          <a:solidFill>
            <a:srgbClr val="002060"/>
          </a:solidFill>
        </c:spPr>
      </c:pivotFmt>
      <c:pivotFmt>
        <c:idx val="54"/>
        <c:spPr>
          <a:solidFill>
            <a:srgbClr val="002060"/>
          </a:solidFill>
        </c:spPr>
      </c:pivotFmt>
      <c:pivotFmt>
        <c:idx val="55"/>
        <c:marker>
          <c:symbol val="none"/>
        </c:marker>
      </c:pivotFmt>
    </c:pivotFmts>
    <c:plotArea>
      <c:layout>
        <c:manualLayout>
          <c:layoutTarget val="inner"/>
          <c:xMode val="edge"/>
          <c:yMode val="edge"/>
          <c:x val="8.6015342783314228E-2"/>
          <c:y val="3.0511506772627147E-2"/>
          <c:w val="0.89608641372789111"/>
          <c:h val="0.829749251800315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'RANKINGS 2013'!$C$163</c:f>
              <c:strCache>
                <c:ptCount val="1"/>
                <c:pt idx="0">
                  <c:v>Total de Activos</c:v>
                </c:pt>
              </c:strCache>
            </c:strRef>
          </c:tx>
          <c:spPr>
            <a:solidFill>
              <a:srgbClr val="D9261A"/>
            </a:solidFill>
          </c:spPr>
          <c:invertIfNegative val="0"/>
          <c:dPt>
            <c:idx val="5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8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10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1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13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14"/>
            <c:invertIfNegative val="0"/>
            <c:bubble3D val="0"/>
            <c:spPr>
              <a:solidFill>
                <a:srgbClr val="002060"/>
              </a:solidFill>
            </c:spPr>
          </c:dPt>
          <c:dPt>
            <c:idx val="15"/>
            <c:invertIfNegative val="0"/>
            <c:bubble3D val="0"/>
            <c:spPr>
              <a:solidFill>
                <a:srgbClr val="002060"/>
              </a:solidFill>
            </c:spPr>
          </c:dPt>
          <c:dPt>
            <c:idx val="16"/>
            <c:invertIfNegative val="0"/>
            <c:bubble3D val="0"/>
            <c:spPr>
              <a:solidFill>
                <a:srgbClr val="002060"/>
              </a:solidFill>
            </c:spPr>
          </c:dPt>
          <c:dPt>
            <c:idx val="17"/>
            <c:invertIfNegative val="0"/>
            <c:bubble3D val="0"/>
            <c:spPr>
              <a:solidFill>
                <a:srgbClr val="002060"/>
              </a:solidFill>
            </c:spPr>
          </c:dPt>
          <c:dPt>
            <c:idx val="18"/>
            <c:invertIfNegative val="0"/>
            <c:bubble3D val="0"/>
            <c:spPr>
              <a:solidFill>
                <a:srgbClr val="002060"/>
              </a:solidFill>
            </c:spPr>
          </c:dPt>
          <c:dPt>
            <c:idx val="19"/>
            <c:invertIfNegative val="0"/>
            <c:bubble3D val="0"/>
            <c:spPr>
              <a:solidFill>
                <a:srgbClr val="002060"/>
              </a:solidFill>
            </c:spPr>
          </c:dPt>
          <c:dPt>
            <c:idx val="20"/>
            <c:invertIfNegative val="0"/>
            <c:bubble3D val="0"/>
            <c:spPr>
              <a:solidFill>
                <a:srgbClr val="002060"/>
              </a:solidFill>
            </c:spPr>
          </c:dPt>
          <c:cat>
            <c:multiLvlStrRef>
              <c:f>'RANKINGS 2013'!$B$164:$B$188</c:f>
              <c:multiLvlStrCache>
                <c:ptCount val="21"/>
                <c:lvl>
                  <c:pt idx="0">
                    <c:v>BESA</c:v>
                  </c:pt>
                  <c:pt idx="1">
                    <c:v>BAI</c:v>
                  </c:pt>
                  <c:pt idx="2">
                    <c:v>BPC</c:v>
                  </c:pt>
                  <c:pt idx="3">
                    <c:v>BFA</c:v>
                  </c:pt>
                  <c:pt idx="4">
                    <c:v>BIC</c:v>
                  </c:pt>
                  <c:pt idx="5">
                    <c:v>BPA</c:v>
                  </c:pt>
                  <c:pt idx="6">
                    <c:v>BMA</c:v>
                  </c:pt>
                  <c:pt idx="7">
                    <c:v>BDA</c:v>
                  </c:pt>
                  <c:pt idx="8">
                    <c:v>SOL</c:v>
                  </c:pt>
                  <c:pt idx="9">
                    <c:v>BCGTA</c:v>
                  </c:pt>
                  <c:pt idx="10">
                    <c:v>BNI</c:v>
                  </c:pt>
                  <c:pt idx="11">
                    <c:v>SBA</c:v>
                  </c:pt>
                  <c:pt idx="12">
                    <c:v>BCI</c:v>
                  </c:pt>
                  <c:pt idx="13">
                    <c:v>BRK</c:v>
                  </c:pt>
                  <c:pt idx="14">
                    <c:v>FNB</c:v>
                  </c:pt>
                  <c:pt idx="15">
                    <c:v>BCA</c:v>
                  </c:pt>
                  <c:pt idx="16">
                    <c:v>BANC</c:v>
                  </c:pt>
                  <c:pt idx="17">
                    <c:v>BVB</c:v>
                  </c:pt>
                  <c:pt idx="18">
                    <c:v>VTB</c:v>
                  </c:pt>
                  <c:pt idx="19">
                    <c:v>BMF</c:v>
                  </c:pt>
                  <c:pt idx="20">
                    <c:v>BCH</c:v>
                  </c:pt>
                </c:lvl>
                <c:lvl>
                  <c:pt idx="0">
                    <c:v>Grande Dimensão</c:v>
                  </c:pt>
                  <c:pt idx="5">
                    <c:v>Média Dimensão</c:v>
                  </c:pt>
                  <c:pt idx="14">
                    <c:v>Pequena Dimensão</c:v>
                  </c:pt>
                </c:lvl>
              </c:multiLvlStrCache>
            </c:multiLvlStrRef>
          </c:cat>
          <c:val>
            <c:numRef>
              <c:f>'RANKINGS 2013'!$C$164:$C$188</c:f>
              <c:numCache>
                <c:formatCode>_-* #,##0\ _€_-;\-* #,##0\ _€_-;_-* "-"??\ _€_-;_-@_-</c:formatCode>
                <c:ptCount val="21"/>
                <c:pt idx="0">
                  <c:v>1107139</c:v>
                </c:pt>
                <c:pt idx="1">
                  <c:v>1039693</c:v>
                </c:pt>
                <c:pt idx="2">
                  <c:v>988181</c:v>
                </c:pt>
                <c:pt idx="3">
                  <c:v>868032</c:v>
                </c:pt>
                <c:pt idx="4">
                  <c:v>751324</c:v>
                </c:pt>
                <c:pt idx="5">
                  <c:v>357006</c:v>
                </c:pt>
                <c:pt idx="6">
                  <c:v>223483</c:v>
                </c:pt>
                <c:pt idx="7">
                  <c:v>221048</c:v>
                </c:pt>
                <c:pt idx="8">
                  <c:v>205840</c:v>
                </c:pt>
                <c:pt idx="9">
                  <c:v>183016</c:v>
                </c:pt>
                <c:pt idx="10">
                  <c:v>184176</c:v>
                </c:pt>
                <c:pt idx="11">
                  <c:v>148492</c:v>
                </c:pt>
                <c:pt idx="12">
                  <c:v>98897</c:v>
                </c:pt>
                <c:pt idx="13">
                  <c:v>98200</c:v>
                </c:pt>
                <c:pt idx="14">
                  <c:v>54603</c:v>
                </c:pt>
                <c:pt idx="15">
                  <c:v>30854</c:v>
                </c:pt>
                <c:pt idx="16">
                  <c:v>16362</c:v>
                </c:pt>
                <c:pt idx="17">
                  <c:v>15120</c:v>
                </c:pt>
                <c:pt idx="18">
                  <c:v>14358</c:v>
                </c:pt>
                <c:pt idx="19">
                  <c:v>10619</c:v>
                </c:pt>
                <c:pt idx="20">
                  <c:v>4058</c:v>
                </c:pt>
              </c:numCache>
            </c:numRef>
          </c:val>
        </c:ser>
        <c:ser>
          <c:idx val="1"/>
          <c:order val="1"/>
          <c:tx>
            <c:strRef>
              <c:f>'RANKINGS 2013'!$D$163</c:f>
              <c:strCache>
                <c:ptCount val="1"/>
                <c:pt idx="0">
                  <c:v>Quota </c:v>
                </c:pt>
              </c:strCache>
            </c:strRef>
          </c:tx>
          <c:invertIfNegative val="0"/>
          <c:cat>
            <c:multiLvlStrRef>
              <c:f>'RANKINGS 2013'!$B$164:$B$188</c:f>
              <c:multiLvlStrCache>
                <c:ptCount val="21"/>
                <c:lvl>
                  <c:pt idx="0">
                    <c:v>BESA</c:v>
                  </c:pt>
                  <c:pt idx="1">
                    <c:v>BAI</c:v>
                  </c:pt>
                  <c:pt idx="2">
                    <c:v>BPC</c:v>
                  </c:pt>
                  <c:pt idx="3">
                    <c:v>BFA</c:v>
                  </c:pt>
                  <c:pt idx="4">
                    <c:v>BIC</c:v>
                  </c:pt>
                  <c:pt idx="5">
                    <c:v>BPA</c:v>
                  </c:pt>
                  <c:pt idx="6">
                    <c:v>BMA</c:v>
                  </c:pt>
                  <c:pt idx="7">
                    <c:v>BDA</c:v>
                  </c:pt>
                  <c:pt idx="8">
                    <c:v>SOL</c:v>
                  </c:pt>
                  <c:pt idx="9">
                    <c:v>BCGTA</c:v>
                  </c:pt>
                  <c:pt idx="10">
                    <c:v>BNI</c:v>
                  </c:pt>
                  <c:pt idx="11">
                    <c:v>SBA</c:v>
                  </c:pt>
                  <c:pt idx="12">
                    <c:v>BCI</c:v>
                  </c:pt>
                  <c:pt idx="13">
                    <c:v>BRK</c:v>
                  </c:pt>
                  <c:pt idx="14">
                    <c:v>FNB</c:v>
                  </c:pt>
                  <c:pt idx="15">
                    <c:v>BCA</c:v>
                  </c:pt>
                  <c:pt idx="16">
                    <c:v>BANC</c:v>
                  </c:pt>
                  <c:pt idx="17">
                    <c:v>BVB</c:v>
                  </c:pt>
                  <c:pt idx="18">
                    <c:v>VTB</c:v>
                  </c:pt>
                  <c:pt idx="19">
                    <c:v>BMF</c:v>
                  </c:pt>
                  <c:pt idx="20">
                    <c:v>BCH</c:v>
                  </c:pt>
                </c:lvl>
                <c:lvl>
                  <c:pt idx="0">
                    <c:v>Grande Dimensão</c:v>
                  </c:pt>
                  <c:pt idx="5">
                    <c:v>Média Dimensão</c:v>
                  </c:pt>
                  <c:pt idx="14">
                    <c:v>Pequena Dimensão</c:v>
                  </c:pt>
                </c:lvl>
              </c:multiLvlStrCache>
            </c:multiLvlStrRef>
          </c:cat>
          <c:val>
            <c:numRef>
              <c:f>'RANKINGS 2013'!$D$164:$D$188</c:f>
              <c:numCache>
                <c:formatCode>0.0%</c:formatCode>
                <c:ptCount val="21"/>
                <c:pt idx="0">
                  <c:v>0.16722999999999999</c:v>
                </c:pt>
                <c:pt idx="1">
                  <c:v>0.15704000000000001</c:v>
                </c:pt>
                <c:pt idx="2">
                  <c:v>0.14926</c:v>
                </c:pt>
                <c:pt idx="3">
                  <c:v>0.13111</c:v>
                </c:pt>
                <c:pt idx="4">
                  <c:v>0.11348</c:v>
                </c:pt>
                <c:pt idx="5">
                  <c:v>5.3920000000000003E-2</c:v>
                </c:pt>
                <c:pt idx="6">
                  <c:v>3.3759999999999998E-2</c:v>
                </c:pt>
                <c:pt idx="7">
                  <c:v>3.3390000000000003E-2</c:v>
                </c:pt>
                <c:pt idx="8">
                  <c:v>3.109E-2</c:v>
                </c:pt>
                <c:pt idx="9">
                  <c:v>2.7640000000000001E-2</c:v>
                </c:pt>
                <c:pt idx="10">
                  <c:v>2.7820000000000001E-2</c:v>
                </c:pt>
                <c:pt idx="11">
                  <c:v>2.2429999999999999E-2</c:v>
                </c:pt>
                <c:pt idx="12">
                  <c:v>1.494E-2</c:v>
                </c:pt>
                <c:pt idx="13">
                  <c:v>1.4829999999999999E-2</c:v>
                </c:pt>
                <c:pt idx="14">
                  <c:v>8.2500000000000004E-3</c:v>
                </c:pt>
                <c:pt idx="15">
                  <c:v>4.6600000000000001E-3</c:v>
                </c:pt>
                <c:pt idx="16">
                  <c:v>2.47E-3</c:v>
                </c:pt>
                <c:pt idx="17">
                  <c:v>2.2799999999999999E-3</c:v>
                </c:pt>
                <c:pt idx="18">
                  <c:v>2.1700000000000001E-3</c:v>
                </c:pt>
                <c:pt idx="19">
                  <c:v>1.6000000000000001E-3</c:v>
                </c:pt>
                <c:pt idx="20">
                  <c:v>6.0999999999999997E-4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833536"/>
        <c:axId val="76835072"/>
      </c:barChart>
      <c:catAx>
        <c:axId val="76833536"/>
        <c:scaling>
          <c:orientation val="minMax"/>
        </c:scaling>
        <c:delete val="0"/>
        <c:axPos val="b"/>
        <c:majorTickMark val="out"/>
        <c:minorTickMark val="none"/>
        <c:tickLblPos val="nextTo"/>
        <c:crossAx val="76835072"/>
        <c:crosses val="autoZero"/>
        <c:auto val="1"/>
        <c:lblAlgn val="ctr"/>
        <c:lblOffset val="100"/>
        <c:noMultiLvlLbl val="0"/>
      </c:catAx>
      <c:valAx>
        <c:axId val="76835072"/>
        <c:scaling>
          <c:orientation val="minMax"/>
        </c:scaling>
        <c:delete val="0"/>
        <c:axPos val="l"/>
        <c:numFmt formatCode="#,##0" sourceLinked="0"/>
        <c:majorTickMark val="out"/>
        <c:minorTickMark val="none"/>
        <c:tickLblPos val="nextTo"/>
        <c:crossAx val="768335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HelveticaNeueLT Std Lt" pitchFamily="34" charset="0"/>
        </a:defRPr>
      </a:pPr>
      <a:endParaRPr lang="pt-PT"/>
    </a:p>
  </c:txPr>
  <c:externalData r:id="rId1">
    <c:autoUpdate val="0"/>
  </c:externalData>
  <c:userShapes r:id="rId2"/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0.43338</cdr:x>
      <cdr:y>0.58965</cdr:y>
    </cdr:from>
    <cdr:to>
      <cdr:x>0.80854</cdr:x>
      <cdr:y>0.64746</cdr:y>
    </cdr:to>
    <cdr:sp macro="" textlink="">
      <cdr:nvSpPr>
        <cdr:cNvPr id="2" name="Caixa de texto 1"/>
        <cdr:cNvSpPr txBox="1"/>
      </cdr:nvSpPr>
      <cdr:spPr>
        <a:xfrm xmlns:a="http://schemas.openxmlformats.org/drawingml/2006/main">
          <a:off x="3978234" y="2422566"/>
          <a:ext cx="3443844" cy="2375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PT" sz="1000">
              <a:latin typeface="HelveticaNeueLT Std Lt" pitchFamily="34" charset="0"/>
            </a:rPr>
            <a:t>Average</a:t>
          </a:r>
          <a:r>
            <a:rPr lang="pt-PT" sz="1000" baseline="0">
              <a:latin typeface="HelveticaNeueLT Std Lt" pitchFamily="34" charset="0"/>
            </a:rPr>
            <a:t> = 315.262 Million AKZ</a:t>
          </a:r>
          <a:endParaRPr lang="pt-PT" sz="1000">
            <a:latin typeface="HelveticaNeueLT Std Lt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USD10</b:Tag>
    <b:SourceType>Report</b:SourceType>
    <b:Guid>{4FAD9171-47D9-4891-807A-5BE57AA0544C}</b:Guid>
    <b:Title>Horizontal Merger Guidelines</b:Title>
    <b:Year>2010</b:Year>
    <b:City>Estados Unidos da América</b:City>
    <b:Publisher>Departmento da Justiça</b:Publisher>
    <b:LCID>pt-PT</b:LCID>
    <b:Author>
      <b:Author>
        <b:Corporate>Departmento de Justiça dos E.U.A.; Comissão Federal do Comércio dos E.U.A.</b:Corporate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E1E11A7D-1B62-4589-8ED9-0D7D2094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10</Pages>
  <Words>2508</Words>
  <Characters>13546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Niria Oramalu</dc:creator>
  <cp:lastModifiedBy>Niria Oramalu</cp:lastModifiedBy>
  <cp:revision>43</cp:revision>
  <dcterms:created xsi:type="dcterms:W3CDTF">2014-11-24T09:20:00Z</dcterms:created>
  <dcterms:modified xsi:type="dcterms:W3CDTF">2015-03-13T10:20:00Z</dcterms:modified>
</cp:coreProperties>
</file>