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32" w:rsidRPr="005152C4" w:rsidRDefault="00064832" w:rsidP="00064832">
      <w:pPr>
        <w:pStyle w:val="Cabealho2"/>
        <w:ind w:left="720"/>
      </w:pPr>
      <w:bookmarkStart w:id="0" w:name="_Toc357409348"/>
      <w:bookmarkStart w:id="1" w:name="_Toc401576549"/>
      <w:r w:rsidRPr="005152C4">
        <w:t>Compatibilidade entre o PCIF e CONTIF</w:t>
      </w:r>
      <w:bookmarkEnd w:id="0"/>
      <w:bookmarkEnd w:id="1"/>
    </w:p>
    <w:p w:rsidR="00064832" w:rsidRPr="0083722C" w:rsidRDefault="00064832" w:rsidP="00064832">
      <w:pPr>
        <w:rPr>
          <w:sz w:val="14"/>
        </w:rPr>
      </w:pPr>
    </w:p>
    <w:p w:rsidR="00064832" w:rsidRPr="005152C4" w:rsidRDefault="00064832" w:rsidP="00064832">
      <w:pPr>
        <w:ind w:firstLine="720"/>
      </w:pPr>
      <w:r w:rsidRPr="005152C4">
        <w:t xml:space="preserve">O CONTIF </w:t>
      </w:r>
      <w:r>
        <w:t xml:space="preserve">foi aprovado pelo </w:t>
      </w:r>
      <w:r w:rsidRPr="005152C4">
        <w:t>Instrutiv</w:t>
      </w:r>
      <w:r>
        <w:t>o nº 9/2007 do BNA, de 19 de Setembro,</w:t>
      </w:r>
      <w:r w:rsidRPr="005152C4">
        <w:t xml:space="preserve"> te</w:t>
      </w:r>
      <w:r>
        <w:t>ndo</w:t>
      </w:r>
      <w:r w:rsidRPr="005152C4">
        <w:t xml:space="preserve"> como objectivo </w:t>
      </w:r>
      <w:r>
        <w:t>aproximar</w:t>
      </w:r>
      <w:r w:rsidRPr="005152C4">
        <w:t xml:space="preserve"> </w:t>
      </w:r>
      <w:r>
        <w:t>as normas</w:t>
      </w:r>
      <w:r w:rsidRPr="005152C4">
        <w:t xml:space="preserve"> contabilístic</w:t>
      </w:r>
      <w:r>
        <w:t>a</w:t>
      </w:r>
      <w:r w:rsidRPr="005152C4">
        <w:t>s</w:t>
      </w:r>
      <w:r>
        <w:t xml:space="preserve"> aplicáveis ao sector bancário</w:t>
      </w:r>
      <w:r w:rsidRPr="005152C4">
        <w:t xml:space="preserve"> às Normas Internacionais de Relato Financeiro (IFRS). Até 31 de Dezembro</w:t>
      </w:r>
      <w:r>
        <w:t xml:space="preserve"> </w:t>
      </w:r>
      <w:r w:rsidRPr="005152C4">
        <w:t>de 2009, as demonstrações financeiras foram preparadas de acordo com os princípios consagrados no an</w:t>
      </w:r>
      <w:r>
        <w:t>terior Plano de C</w:t>
      </w:r>
      <w:r w:rsidRPr="005152C4">
        <w:t xml:space="preserve">ontas das Instituições Financeiras (PCIF), nos termos do Instrutivo nº 13/1999, de 1 de Setembro emitido pelo </w:t>
      </w:r>
      <w:r>
        <w:t>BNA</w:t>
      </w:r>
      <w:r w:rsidRPr="005152C4">
        <w:t>.</w:t>
      </w:r>
    </w:p>
    <w:p w:rsidR="00064832" w:rsidRPr="005152C4" w:rsidRDefault="00064832" w:rsidP="00064832">
      <w:pPr>
        <w:ind w:firstLine="720"/>
      </w:pPr>
      <w:r>
        <w:t>As demonstrações financeiras de</w:t>
      </w:r>
      <w:r w:rsidRPr="005152C4">
        <w:t xml:space="preserve"> 2010 foram as primeiras apresentadas pelos bancos de acordo com o CONTIF, </w:t>
      </w:r>
      <w:r>
        <w:t>tendo as demonstrações financeiras de 2009 sido apresentadas reexpressas para permitir a sua comparabilidade</w:t>
      </w:r>
      <w:r w:rsidRPr="005152C4">
        <w:t xml:space="preserve">. </w:t>
      </w:r>
      <w:r>
        <w:t>N</w:t>
      </w:r>
      <w:r>
        <w:t>os</w:t>
      </w:r>
      <w:r>
        <w:t xml:space="preserve"> relatório</w:t>
      </w:r>
      <w:r>
        <w:t>s da ABANC, bem como em qualquer informação financeira disponibilizada</w:t>
      </w:r>
      <w:r>
        <w:t xml:space="preserve">, as demonstrações financeiras </w:t>
      </w:r>
      <w:r>
        <w:t xml:space="preserve">do período de 2006 a 2008, bem como as demonstrações financeiras </w:t>
      </w:r>
      <w:r>
        <w:t>de alguns bancos para o exercício de</w:t>
      </w:r>
      <w:r w:rsidRPr="005152C4">
        <w:t xml:space="preserve"> </w:t>
      </w:r>
      <w:r>
        <w:t>2009 foram reexpressas, mas sob responsabilidade da ABANC</w:t>
      </w:r>
      <w:r w:rsidRPr="005152C4">
        <w:t xml:space="preserve">, de modo a </w:t>
      </w:r>
      <w:r>
        <w:t>ser possível fazer-se a análise comparativa do sector no período de 200</w:t>
      </w:r>
      <w:r>
        <w:t>6</w:t>
      </w:r>
      <w:r>
        <w:t xml:space="preserve"> a 2013</w:t>
      </w:r>
      <w:r w:rsidRPr="005152C4">
        <w:t>.</w:t>
      </w:r>
      <w:r>
        <w:t xml:space="preserve"> As alterações não abrangeram os rácios prudenciais apresentados cuja fonte é o BNA. </w:t>
      </w:r>
    </w:p>
    <w:p w:rsidR="00064832" w:rsidRPr="005152C4" w:rsidRDefault="00064832" w:rsidP="00064832">
      <w:pPr>
        <w:ind w:firstLine="720"/>
      </w:pPr>
      <w:r>
        <w:t>N</w:t>
      </w:r>
      <w:r w:rsidRPr="005152C4">
        <w:t>ão exist</w:t>
      </w:r>
      <w:r>
        <w:t>iram</w:t>
      </w:r>
      <w:r w:rsidRPr="005152C4">
        <w:t xml:space="preserve"> impactos nos fundos próprios </w:t>
      </w:r>
      <w:r>
        <w:t xml:space="preserve">do balanço </w:t>
      </w:r>
      <w:r w:rsidRPr="005152C4">
        <w:t>decorrentes da adopção do CONTIF</w:t>
      </w:r>
      <w:r>
        <w:t xml:space="preserve"> em 2010</w:t>
      </w:r>
      <w:r>
        <w:rPr>
          <w:rStyle w:val="Refdenotaderodap"/>
        </w:rPr>
        <w:footnoteReference w:id="1"/>
      </w:r>
      <w:r w:rsidRPr="005152C4">
        <w:t xml:space="preserve">. As </w:t>
      </w:r>
      <w:r>
        <w:t xml:space="preserve">principais </w:t>
      </w:r>
      <w:r w:rsidRPr="005152C4">
        <w:t xml:space="preserve">alterações verificadas reflectem-se </w:t>
      </w:r>
      <w:r>
        <w:t xml:space="preserve">na </w:t>
      </w:r>
      <w:r w:rsidRPr="005152C4">
        <w:t>apresentação do balanço patrimonial e da demonstração de resultados, nomeadamente,</w:t>
      </w:r>
    </w:p>
    <w:p w:rsidR="00064832" w:rsidRPr="005152C4" w:rsidRDefault="00064832" w:rsidP="00064832">
      <w:pPr>
        <w:pStyle w:val="PargrafodaLista"/>
        <w:numPr>
          <w:ilvl w:val="0"/>
          <w:numId w:val="2"/>
        </w:numPr>
      </w:pPr>
      <w:r w:rsidRPr="005152C4">
        <w:t>A nível do Balanço Patrimonial:</w:t>
      </w:r>
    </w:p>
    <w:p w:rsidR="00064832" w:rsidRPr="005152C4" w:rsidRDefault="00064832" w:rsidP="00064832">
      <w:pPr>
        <w:pStyle w:val="PargrafodaLista"/>
        <w:numPr>
          <w:ilvl w:val="0"/>
          <w:numId w:val="1"/>
        </w:numPr>
      </w:pPr>
      <w:r w:rsidRPr="005152C4">
        <w:t>Títulos e Valores Mobiliários</w:t>
      </w:r>
    </w:p>
    <w:p w:rsidR="00064832" w:rsidRPr="005152C4" w:rsidRDefault="00064832" w:rsidP="00064832">
      <w:pPr>
        <w:pStyle w:val="PargrafodaLista"/>
        <w:numPr>
          <w:ilvl w:val="0"/>
          <w:numId w:val="1"/>
        </w:numPr>
      </w:pPr>
      <w:r w:rsidRPr="005152C4">
        <w:t>Juros a Receber e Custos a Pagar de Instrumentos Financeiros</w:t>
      </w:r>
    </w:p>
    <w:p w:rsidR="00064832" w:rsidRDefault="00064832" w:rsidP="00064832">
      <w:pPr>
        <w:pStyle w:val="PargrafodaLista"/>
        <w:numPr>
          <w:ilvl w:val="0"/>
          <w:numId w:val="1"/>
        </w:numPr>
      </w:pPr>
      <w:r w:rsidRPr="005152C4">
        <w:t>Operações Cambiais</w:t>
      </w:r>
    </w:p>
    <w:p w:rsidR="00064832" w:rsidRPr="005152C4" w:rsidRDefault="00064832" w:rsidP="00064832">
      <w:pPr>
        <w:pStyle w:val="PargrafodaLista"/>
        <w:numPr>
          <w:ilvl w:val="0"/>
          <w:numId w:val="1"/>
        </w:numPr>
      </w:pPr>
      <w:r>
        <w:t>Obras em edifícios arrendados</w:t>
      </w:r>
    </w:p>
    <w:p w:rsidR="00064832" w:rsidRPr="005152C4" w:rsidRDefault="00064832" w:rsidP="00064832">
      <w:pPr>
        <w:pStyle w:val="PargrafodaLista"/>
        <w:numPr>
          <w:ilvl w:val="0"/>
          <w:numId w:val="1"/>
        </w:numPr>
      </w:pPr>
      <w:r w:rsidRPr="005152C4">
        <w:t>Reservas</w:t>
      </w:r>
      <w:r>
        <w:t xml:space="preserve"> de reavaliação do imobilizado</w:t>
      </w:r>
    </w:p>
    <w:p w:rsidR="00064832" w:rsidRPr="005152C4" w:rsidRDefault="00064832" w:rsidP="00064832">
      <w:pPr>
        <w:pStyle w:val="PargrafodaLista"/>
        <w:numPr>
          <w:ilvl w:val="0"/>
          <w:numId w:val="2"/>
        </w:numPr>
      </w:pPr>
      <w:r w:rsidRPr="005152C4">
        <w:t>A nível da Demonstração de Resultados:</w:t>
      </w:r>
    </w:p>
    <w:p w:rsidR="00064832" w:rsidRPr="005152C4" w:rsidRDefault="00064832" w:rsidP="00064832">
      <w:pPr>
        <w:pStyle w:val="PargrafodaLista"/>
        <w:numPr>
          <w:ilvl w:val="0"/>
          <w:numId w:val="1"/>
        </w:numPr>
      </w:pPr>
      <w:r w:rsidRPr="005152C4">
        <w:t>Resultados Extraordinários</w:t>
      </w:r>
    </w:p>
    <w:p w:rsidR="00064832" w:rsidRPr="005152C4" w:rsidRDefault="00064832" w:rsidP="00064832"/>
    <w:p w:rsidR="00064832" w:rsidRDefault="00064832" w:rsidP="00064832">
      <w:pPr>
        <w:ind w:firstLine="360"/>
      </w:pPr>
      <w:r w:rsidRPr="005152C4">
        <w:t>O quadro seguinte apresenta a correspondência entre as rubricas dos planos contabilísticos PCIF e CONTIF que foram aplicadas</w:t>
      </w:r>
      <w:r>
        <w:t xml:space="preserve"> neste relatório.</w:t>
      </w:r>
      <w:r>
        <w:br w:type="page"/>
      </w:r>
    </w:p>
    <w:p w:rsidR="00064832" w:rsidRDefault="00064832" w:rsidP="00064832">
      <w:pPr>
        <w:pStyle w:val="Legenda"/>
      </w:pPr>
      <w:bookmarkStart w:id="3" w:name="_Toc357408643"/>
      <w:bookmarkStart w:id="4" w:name="_Toc401576596"/>
      <w:r>
        <w:lastRenderedPageBreak/>
        <w:t xml:space="preserve">Quadro </w:t>
      </w:r>
      <w:r>
        <w:fldChar w:fldCharType="begin"/>
      </w:r>
      <w:r>
        <w:instrText xml:space="preserve"> SEQ Quadro \* ARABIC </w:instrText>
      </w:r>
      <w:r>
        <w:fldChar w:fldCharType="separate"/>
      </w:r>
      <w:r>
        <w:t>40</w:t>
      </w:r>
      <w:r>
        <w:fldChar w:fldCharType="end"/>
      </w:r>
      <w:r>
        <w:t xml:space="preserve"> –</w:t>
      </w:r>
      <w:r w:rsidRPr="008B5657">
        <w:t xml:space="preserve"> Correspondência entre PCIF e CONTIF</w:t>
      </w:r>
      <w:bookmarkEnd w:id="3"/>
      <w:bookmarkEnd w:id="4"/>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99"/>
        <w:gridCol w:w="3821"/>
      </w:tblGrid>
      <w:tr w:rsidR="00064832" w:rsidRPr="00D15924" w:rsidTr="004F7364">
        <w:tc>
          <w:tcPr>
            <w:tcW w:w="9242" w:type="dxa"/>
            <w:gridSpan w:val="2"/>
            <w:tcBorders>
              <w:bottom w:val="single" w:sz="4" w:space="0" w:color="auto"/>
            </w:tcBorders>
            <w:shd w:val="clear" w:color="auto" w:fill="ED1C24"/>
            <w:vAlign w:val="bottom"/>
          </w:tcPr>
          <w:p w:rsidR="00064832" w:rsidRPr="00647DBD" w:rsidRDefault="00064832" w:rsidP="004F7364">
            <w:pPr>
              <w:jc w:val="center"/>
              <w:rPr>
                <w:b/>
                <w:sz w:val="20"/>
              </w:rPr>
            </w:pPr>
            <w:r w:rsidRPr="00647DBD">
              <w:rPr>
                <w:b/>
                <w:sz w:val="20"/>
              </w:rPr>
              <w:t>ACTIVO</w:t>
            </w:r>
          </w:p>
        </w:tc>
      </w:tr>
      <w:tr w:rsidR="00064832" w:rsidRPr="00D15924" w:rsidTr="004F7364">
        <w:tc>
          <w:tcPr>
            <w:tcW w:w="5211" w:type="dxa"/>
            <w:tcBorders>
              <w:bottom w:val="single" w:sz="4" w:space="0" w:color="BFBFBF" w:themeColor="background1" w:themeShade="BF"/>
            </w:tcBorders>
            <w:shd w:val="clear" w:color="auto" w:fill="DCDCDC"/>
            <w:vAlign w:val="bottom"/>
          </w:tcPr>
          <w:p w:rsidR="00064832" w:rsidRPr="00D15924" w:rsidRDefault="00064832" w:rsidP="004F7364">
            <w:pPr>
              <w:jc w:val="center"/>
              <w:rPr>
                <w:b/>
                <w:sz w:val="20"/>
              </w:rPr>
            </w:pPr>
            <w:r w:rsidRPr="00D15924">
              <w:rPr>
                <w:b/>
                <w:sz w:val="20"/>
              </w:rPr>
              <w:t>PCIF</w:t>
            </w:r>
          </w:p>
        </w:tc>
        <w:tc>
          <w:tcPr>
            <w:tcW w:w="4031" w:type="dxa"/>
            <w:tcBorders>
              <w:bottom w:val="single" w:sz="4" w:space="0" w:color="BFBFBF" w:themeColor="background1" w:themeShade="BF"/>
            </w:tcBorders>
            <w:shd w:val="clear" w:color="auto" w:fill="DCDCDC"/>
            <w:vAlign w:val="bottom"/>
          </w:tcPr>
          <w:p w:rsidR="00064832" w:rsidRPr="00D15924" w:rsidRDefault="00064832" w:rsidP="004F7364">
            <w:pPr>
              <w:jc w:val="center"/>
              <w:rPr>
                <w:b/>
                <w:sz w:val="20"/>
              </w:rPr>
            </w:pPr>
            <w:r w:rsidRPr="00D15924">
              <w:rPr>
                <w:b/>
                <w:sz w:val="20"/>
              </w:rPr>
              <w:t>CONTIF</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jc w:val="left"/>
              <w:rPr>
                <w:sz w:val="20"/>
              </w:rPr>
            </w:pPr>
            <w:r w:rsidRPr="00D15924">
              <w:rPr>
                <w:sz w:val="20"/>
              </w:rPr>
              <w:t>Caixa e Disponibilidades no Banco Central</w:t>
            </w:r>
          </w:p>
        </w:tc>
        <w:tc>
          <w:tcPr>
            <w:tcW w:w="4031" w:type="dxa"/>
            <w:vMerge w:val="restart"/>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jc w:val="left"/>
              <w:rPr>
                <w:sz w:val="20"/>
              </w:rPr>
            </w:pPr>
            <w:r w:rsidRPr="00D15924">
              <w:rPr>
                <w:sz w:val="20"/>
              </w:rPr>
              <w:t>Disponibilidades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jc w:val="left"/>
              <w:rPr>
                <w:sz w:val="20"/>
              </w:rPr>
            </w:pPr>
            <w:r w:rsidRPr="00D15924">
              <w:rPr>
                <w:sz w:val="20"/>
              </w:rPr>
              <w:t>Disponibilidades à Vista em Instituições de Crédito</w:t>
            </w:r>
          </w:p>
        </w:tc>
        <w:tc>
          <w:tcPr>
            <w:tcW w:w="4031" w:type="dxa"/>
            <w:vMerge/>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jc w:val="left"/>
              <w:rPr>
                <w:sz w:val="20"/>
              </w:rPr>
            </w:pP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jc w:val="left"/>
              <w:rPr>
                <w:sz w:val="20"/>
              </w:rPr>
            </w:pPr>
            <w:r w:rsidRPr="00D15924">
              <w:rPr>
                <w:sz w:val="20"/>
              </w:rPr>
              <w:t>Outros Créditos sobre Instituições de Crédito</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jc w:val="left"/>
              <w:rPr>
                <w:sz w:val="20"/>
              </w:rPr>
            </w:pPr>
            <w:r w:rsidRPr="00D15924">
              <w:rPr>
                <w:sz w:val="20"/>
              </w:rPr>
              <w:t>Aplicações de Liquidez</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jc w:val="left"/>
              <w:rPr>
                <w:sz w:val="20"/>
              </w:rPr>
            </w:pPr>
            <w:r w:rsidRPr="00D15924">
              <w:rPr>
                <w:sz w:val="20"/>
              </w:rPr>
              <w:t>Obrigações e Outros Títulos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jc w:val="left"/>
              <w:rPr>
                <w:sz w:val="20"/>
              </w:rPr>
            </w:pPr>
            <w:r w:rsidRPr="00D15924">
              <w:rPr>
                <w:sz w:val="20"/>
              </w:rPr>
              <w:t>Títulos e Valores Mobiliários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tabs>
                <w:tab w:val="left" w:pos="3801"/>
              </w:tabs>
              <w:jc w:val="left"/>
              <w:rPr>
                <w:sz w:val="20"/>
              </w:rPr>
            </w:pPr>
            <w:r w:rsidRPr="00D15924">
              <w:rPr>
                <w:sz w:val="20"/>
              </w:rPr>
              <w:t>Imobilizações e Participações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jc w:val="left"/>
              <w:rPr>
                <w:sz w:val="20"/>
              </w:rPr>
            </w:pPr>
            <w:r w:rsidRPr="00D15924">
              <w:rPr>
                <w:sz w:val="20"/>
              </w:rPr>
              <w:t>Imobilizações</w:t>
            </w:r>
          </w:p>
        </w:tc>
      </w:tr>
      <w:tr w:rsidR="00064832" w:rsidRPr="00D15924" w:rsidTr="004F7364">
        <w:tc>
          <w:tcPr>
            <w:tcW w:w="5211" w:type="dxa"/>
            <w:tcBorders>
              <w:top w:val="single" w:sz="4" w:space="0" w:color="BFBFBF" w:themeColor="background1" w:themeShade="BF"/>
              <w:bottom w:val="nil"/>
            </w:tcBorders>
            <w:vAlign w:val="center"/>
          </w:tcPr>
          <w:p w:rsidR="00064832" w:rsidRPr="00D15924" w:rsidRDefault="00064832" w:rsidP="004F7364">
            <w:pPr>
              <w:jc w:val="left"/>
              <w:rPr>
                <w:sz w:val="20"/>
              </w:rPr>
            </w:pPr>
            <w:r w:rsidRPr="00D15924">
              <w:rPr>
                <w:sz w:val="20"/>
              </w:rPr>
              <w:t>Outros Activos</w:t>
            </w:r>
          </w:p>
        </w:tc>
        <w:tc>
          <w:tcPr>
            <w:tcW w:w="4031" w:type="dxa"/>
            <w:vMerge w:val="restart"/>
            <w:tcBorders>
              <w:top w:val="single" w:sz="4" w:space="0" w:color="BFBFBF" w:themeColor="background1" w:themeShade="BF"/>
            </w:tcBorders>
            <w:vAlign w:val="center"/>
          </w:tcPr>
          <w:p w:rsidR="00064832" w:rsidRPr="00D15924" w:rsidRDefault="00064832" w:rsidP="004F7364">
            <w:pPr>
              <w:jc w:val="left"/>
              <w:rPr>
                <w:sz w:val="20"/>
              </w:rPr>
            </w:pPr>
            <w:r w:rsidRPr="00D15924">
              <w:rPr>
                <w:sz w:val="20"/>
              </w:rPr>
              <w:t>Outros Activos</w:t>
            </w:r>
          </w:p>
        </w:tc>
      </w:tr>
      <w:tr w:rsidR="00064832" w:rsidRPr="00D15924" w:rsidTr="004F7364">
        <w:tc>
          <w:tcPr>
            <w:tcW w:w="5211" w:type="dxa"/>
            <w:tcBorders>
              <w:top w:val="nil"/>
            </w:tcBorders>
            <w:vAlign w:val="center"/>
          </w:tcPr>
          <w:p w:rsidR="00064832" w:rsidRPr="00D15924" w:rsidRDefault="00064832" w:rsidP="004F7364">
            <w:pPr>
              <w:jc w:val="left"/>
              <w:rPr>
                <w:sz w:val="20"/>
              </w:rPr>
            </w:pPr>
            <w:r w:rsidRPr="00D15924">
              <w:rPr>
                <w:sz w:val="20"/>
              </w:rPr>
              <w:t>Contas de Regularização</w:t>
            </w:r>
          </w:p>
        </w:tc>
        <w:tc>
          <w:tcPr>
            <w:tcW w:w="4031" w:type="dxa"/>
            <w:vMerge/>
            <w:vAlign w:val="bottom"/>
          </w:tcPr>
          <w:p w:rsidR="00064832" w:rsidRPr="00D15924" w:rsidRDefault="00064832" w:rsidP="004F7364">
            <w:pPr>
              <w:jc w:val="center"/>
              <w:rPr>
                <w:sz w:val="20"/>
              </w:rPr>
            </w:pPr>
          </w:p>
        </w:tc>
      </w:tr>
    </w:tbl>
    <w:p w:rsidR="00064832" w:rsidRPr="00E9169D" w:rsidRDefault="00064832" w:rsidP="00064832">
      <w:pPr>
        <w:rPr>
          <w:sz w:val="6"/>
        </w:rPr>
      </w:pPr>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95"/>
        <w:gridCol w:w="3825"/>
      </w:tblGrid>
      <w:tr w:rsidR="00064832" w:rsidRPr="00D15924" w:rsidTr="004F7364">
        <w:tc>
          <w:tcPr>
            <w:tcW w:w="9242" w:type="dxa"/>
            <w:gridSpan w:val="2"/>
            <w:tcBorders>
              <w:bottom w:val="single" w:sz="4" w:space="0" w:color="auto"/>
            </w:tcBorders>
            <w:shd w:val="clear" w:color="auto" w:fill="ED1C24"/>
            <w:vAlign w:val="center"/>
          </w:tcPr>
          <w:p w:rsidR="00064832" w:rsidRPr="00D15924" w:rsidRDefault="00064832" w:rsidP="004F7364">
            <w:pPr>
              <w:jc w:val="center"/>
              <w:rPr>
                <w:b/>
                <w:sz w:val="20"/>
              </w:rPr>
            </w:pPr>
            <w:r w:rsidRPr="00D15924">
              <w:rPr>
                <w:b/>
                <w:sz w:val="20"/>
              </w:rPr>
              <w:t>PASSIVO</w:t>
            </w:r>
          </w:p>
        </w:tc>
      </w:tr>
      <w:tr w:rsidR="00064832" w:rsidRPr="00D15924" w:rsidTr="004F7364">
        <w:tc>
          <w:tcPr>
            <w:tcW w:w="5211" w:type="dxa"/>
            <w:tcBorders>
              <w:bottom w:val="single" w:sz="4" w:space="0" w:color="BFBFBF" w:themeColor="background1" w:themeShade="BF"/>
            </w:tcBorders>
            <w:shd w:val="clear" w:color="auto" w:fill="DCDCDC"/>
            <w:vAlign w:val="center"/>
          </w:tcPr>
          <w:p w:rsidR="00064832" w:rsidRPr="00D15924" w:rsidRDefault="00064832" w:rsidP="004F7364">
            <w:pPr>
              <w:jc w:val="center"/>
              <w:rPr>
                <w:b/>
                <w:sz w:val="20"/>
              </w:rPr>
            </w:pPr>
            <w:r w:rsidRPr="00D15924">
              <w:rPr>
                <w:b/>
                <w:sz w:val="20"/>
              </w:rPr>
              <w:t>PCIF</w:t>
            </w:r>
          </w:p>
        </w:tc>
        <w:tc>
          <w:tcPr>
            <w:tcW w:w="4031" w:type="dxa"/>
            <w:tcBorders>
              <w:bottom w:val="single" w:sz="4" w:space="0" w:color="BFBFBF" w:themeColor="background1" w:themeShade="BF"/>
            </w:tcBorders>
            <w:shd w:val="clear" w:color="auto" w:fill="DCDCDC"/>
            <w:vAlign w:val="center"/>
          </w:tcPr>
          <w:p w:rsidR="00064832" w:rsidRPr="00D15924" w:rsidRDefault="00064832" w:rsidP="004F7364">
            <w:pPr>
              <w:jc w:val="center"/>
              <w:rPr>
                <w:b/>
                <w:sz w:val="20"/>
              </w:rPr>
            </w:pPr>
            <w:r w:rsidRPr="00D15924">
              <w:rPr>
                <w:b/>
                <w:sz w:val="20"/>
              </w:rPr>
              <w:t>CONTIF</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sidRPr="00D15924">
              <w:rPr>
                <w:sz w:val="20"/>
              </w:rPr>
              <w:t>Recursos de Outras Instituições de Crédito</w:t>
            </w:r>
          </w:p>
        </w:tc>
        <w:tc>
          <w:tcPr>
            <w:tcW w:w="4031" w:type="dxa"/>
            <w:vMerge w:val="restart"/>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proofErr w:type="gramStart"/>
            <w:r w:rsidRPr="00D15924">
              <w:rPr>
                <w:sz w:val="20"/>
              </w:rPr>
              <w:t>Captações para</w:t>
            </w:r>
            <w:proofErr w:type="gramEnd"/>
            <w:r w:rsidRPr="00D15924">
              <w:rPr>
                <w:sz w:val="20"/>
              </w:rPr>
              <w:t xml:space="preserve"> Liquidez</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Pr>
                <w:sz w:val="20"/>
              </w:rPr>
              <w:t>Recursos do B</w:t>
            </w:r>
            <w:r w:rsidRPr="00D15924">
              <w:rPr>
                <w:sz w:val="20"/>
              </w:rPr>
              <w:t>anco Central e de Outras Entidades</w:t>
            </w:r>
          </w:p>
        </w:tc>
        <w:tc>
          <w:tcPr>
            <w:tcW w:w="4031" w:type="dxa"/>
            <w:vMerge/>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sidRPr="00D15924">
              <w:rPr>
                <w:sz w:val="20"/>
              </w:rPr>
              <w:t>Depósitos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sidRPr="00D15924">
              <w:rPr>
                <w:sz w:val="20"/>
              </w:rPr>
              <w:t>Depósitos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sidRPr="00D15924">
              <w:rPr>
                <w:sz w:val="20"/>
              </w:rPr>
              <w:t>Responsabilidades Representadas por Títulos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sidRPr="00D15924">
              <w:rPr>
                <w:sz w:val="20"/>
              </w:rPr>
              <w:t>Captações com Títulos e Valores Mobiliários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sidRPr="00D15924">
              <w:rPr>
                <w:sz w:val="20"/>
              </w:rPr>
              <w:t>Outros Recursos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sidRPr="00D15924">
              <w:rPr>
                <w:sz w:val="20"/>
              </w:rPr>
              <w:t>Outras Captações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sidRPr="00D15924">
              <w:rPr>
                <w:sz w:val="20"/>
              </w:rPr>
              <w:t>Outros Passivos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rPr>
            </w:pPr>
            <w:r w:rsidRPr="00D15924">
              <w:rPr>
                <w:sz w:val="20"/>
              </w:rPr>
              <w:t>Outros Obrigações</w:t>
            </w:r>
          </w:p>
        </w:tc>
      </w:tr>
      <w:tr w:rsidR="00064832" w:rsidRPr="00D15924" w:rsidTr="004F7364">
        <w:tc>
          <w:tcPr>
            <w:tcW w:w="5211" w:type="dxa"/>
            <w:tcBorders>
              <w:top w:val="single" w:sz="4" w:space="0" w:color="BFBFBF" w:themeColor="background1" w:themeShade="BF"/>
            </w:tcBorders>
            <w:vAlign w:val="center"/>
          </w:tcPr>
          <w:p w:rsidR="00064832" w:rsidRPr="00D15924" w:rsidRDefault="00064832" w:rsidP="004F7364">
            <w:pPr>
              <w:rPr>
                <w:sz w:val="20"/>
              </w:rPr>
            </w:pPr>
            <w:proofErr w:type="gramStart"/>
            <w:r w:rsidRPr="00D15924">
              <w:rPr>
                <w:sz w:val="20"/>
              </w:rPr>
              <w:t>Provisões para</w:t>
            </w:r>
            <w:proofErr w:type="gramEnd"/>
            <w:r w:rsidRPr="00D15924">
              <w:rPr>
                <w:sz w:val="20"/>
              </w:rPr>
              <w:t xml:space="preserve"> Riscos e Encargos</w:t>
            </w:r>
          </w:p>
        </w:tc>
        <w:tc>
          <w:tcPr>
            <w:tcW w:w="4031" w:type="dxa"/>
            <w:tcBorders>
              <w:top w:val="single" w:sz="4" w:space="0" w:color="BFBFBF" w:themeColor="background1" w:themeShade="BF"/>
            </w:tcBorders>
            <w:vAlign w:val="center"/>
          </w:tcPr>
          <w:p w:rsidR="00064832" w:rsidRPr="00D15924" w:rsidRDefault="00064832" w:rsidP="004F7364">
            <w:pPr>
              <w:rPr>
                <w:sz w:val="20"/>
              </w:rPr>
            </w:pPr>
            <w:proofErr w:type="gramStart"/>
            <w:r w:rsidRPr="00D15924">
              <w:rPr>
                <w:sz w:val="20"/>
              </w:rPr>
              <w:t>Provisões para</w:t>
            </w:r>
            <w:proofErr w:type="gramEnd"/>
            <w:r w:rsidRPr="00D15924">
              <w:rPr>
                <w:sz w:val="20"/>
              </w:rPr>
              <w:t xml:space="preserve"> Responsabilidades Prováveis</w:t>
            </w:r>
          </w:p>
        </w:tc>
      </w:tr>
    </w:tbl>
    <w:p w:rsidR="00064832" w:rsidRPr="00E9169D" w:rsidRDefault="00064832" w:rsidP="00064832">
      <w:pPr>
        <w:rPr>
          <w:sz w:val="6"/>
        </w:rPr>
      </w:pPr>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85"/>
        <w:gridCol w:w="3835"/>
      </w:tblGrid>
      <w:tr w:rsidR="00064832" w:rsidRPr="00D15924" w:rsidTr="004F7364">
        <w:tc>
          <w:tcPr>
            <w:tcW w:w="9242" w:type="dxa"/>
            <w:gridSpan w:val="2"/>
            <w:tcBorders>
              <w:bottom w:val="single" w:sz="4" w:space="0" w:color="auto"/>
            </w:tcBorders>
            <w:shd w:val="clear" w:color="auto" w:fill="ED1C24"/>
            <w:vAlign w:val="center"/>
          </w:tcPr>
          <w:p w:rsidR="00064832" w:rsidRPr="00D15924" w:rsidRDefault="00064832" w:rsidP="004F7364">
            <w:pPr>
              <w:jc w:val="center"/>
              <w:rPr>
                <w:b/>
                <w:sz w:val="20"/>
                <w:szCs w:val="20"/>
              </w:rPr>
            </w:pPr>
            <w:r w:rsidRPr="00D15924">
              <w:rPr>
                <w:b/>
                <w:sz w:val="20"/>
                <w:szCs w:val="20"/>
              </w:rPr>
              <w:t>DEMONSTRAÇÃO DE RESULTADOS</w:t>
            </w:r>
          </w:p>
        </w:tc>
      </w:tr>
      <w:tr w:rsidR="00064832" w:rsidRPr="00D15924" w:rsidTr="004F7364">
        <w:tc>
          <w:tcPr>
            <w:tcW w:w="5211" w:type="dxa"/>
            <w:tcBorders>
              <w:bottom w:val="single" w:sz="4" w:space="0" w:color="BFBFBF" w:themeColor="background1" w:themeShade="BF"/>
            </w:tcBorders>
            <w:shd w:val="clear" w:color="auto" w:fill="DCDCDC"/>
            <w:vAlign w:val="center"/>
          </w:tcPr>
          <w:p w:rsidR="00064832" w:rsidRPr="00D15924" w:rsidRDefault="00064832" w:rsidP="004F7364">
            <w:pPr>
              <w:jc w:val="center"/>
              <w:rPr>
                <w:b/>
                <w:sz w:val="20"/>
                <w:szCs w:val="20"/>
              </w:rPr>
            </w:pPr>
            <w:r w:rsidRPr="00D15924">
              <w:rPr>
                <w:b/>
                <w:sz w:val="20"/>
                <w:szCs w:val="20"/>
              </w:rPr>
              <w:t>PCIF</w:t>
            </w:r>
          </w:p>
        </w:tc>
        <w:tc>
          <w:tcPr>
            <w:tcW w:w="4031" w:type="dxa"/>
            <w:tcBorders>
              <w:bottom w:val="single" w:sz="4" w:space="0" w:color="BFBFBF" w:themeColor="background1" w:themeShade="BF"/>
            </w:tcBorders>
            <w:shd w:val="clear" w:color="auto" w:fill="DCDCDC"/>
            <w:vAlign w:val="center"/>
          </w:tcPr>
          <w:p w:rsidR="00064832" w:rsidRPr="00D15924" w:rsidRDefault="00064832" w:rsidP="004F7364">
            <w:pPr>
              <w:jc w:val="center"/>
              <w:rPr>
                <w:b/>
                <w:sz w:val="20"/>
                <w:szCs w:val="20"/>
              </w:rPr>
            </w:pPr>
            <w:r w:rsidRPr="00D15924">
              <w:rPr>
                <w:b/>
                <w:sz w:val="20"/>
                <w:szCs w:val="20"/>
              </w:rPr>
              <w:t>CONTIF</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Margem Financeira</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Margem Financeira</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Juros e Proveitos Equiparados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Proveitos de Instrumentos Financeiros Activos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Juros e Custos Equiparados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Custos de Instrumentos Fin</w:t>
            </w:r>
            <w:r>
              <w:rPr>
                <w:sz w:val="20"/>
                <w:szCs w:val="20"/>
              </w:rPr>
              <w:t>an</w:t>
            </w:r>
            <w:r w:rsidRPr="00D15924">
              <w:rPr>
                <w:sz w:val="20"/>
                <w:szCs w:val="20"/>
              </w:rPr>
              <w:t>ceiros Passivos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Margem Complementar</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Margem Complementar</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Rendimentos com Títulos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Resultados de Negociações e Ajustes ao Valor Justo</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Comissões Pagas e Recebidas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Resultados de Prestação de Serviços Financeiros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Resultados em Operações Financeiras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Resultados de Operações Cambiais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Produto Bancário</w:t>
            </w:r>
            <w:r>
              <w:rPr>
                <w:b/>
                <w:sz w:val="20"/>
                <w:szCs w:val="20"/>
              </w:rPr>
              <w:t xml:space="preserve"> Líquido</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Resultado de Intermediação</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Custos de Exploração</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Custos Administrativos e de Comercialização</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lastRenderedPageBreak/>
              <w:t>Custos com o Pessoal</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Custos com o Pessoal</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 xml:space="preserve">Gastos Administrativos </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proofErr w:type="gramStart"/>
            <w:r w:rsidRPr="00D15924">
              <w:rPr>
                <w:sz w:val="20"/>
                <w:szCs w:val="20"/>
              </w:rPr>
              <w:t>Provisões para</w:t>
            </w:r>
            <w:proofErr w:type="gramEnd"/>
            <w:r w:rsidRPr="00D15924">
              <w:rPr>
                <w:sz w:val="20"/>
                <w:szCs w:val="20"/>
              </w:rPr>
              <w:t xml:space="preserve"> Responsabilidades Prováveis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Fornecimento e Serviços de Terceiros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Fornecimento de Terceiros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Amortizações do Exercício</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Depreciações e Amortizações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Impostos e Taxas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Impostos e Taxas Não Incidentes sobre o Resultado</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Outros Proveitos e Custos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Outros Proveitos e Custos Operacionais</w:t>
            </w:r>
          </w:p>
        </w:tc>
      </w:tr>
      <w:tr w:rsidR="00064832" w:rsidRPr="00D15924" w:rsidTr="004F7364">
        <w:tc>
          <w:tcPr>
            <w:tcW w:w="5211" w:type="dxa"/>
            <w:vMerge w:val="restart"/>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Provisões do Exercício</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proofErr w:type="gramStart"/>
            <w:r w:rsidRPr="00D15924">
              <w:rPr>
                <w:sz w:val="20"/>
                <w:szCs w:val="20"/>
              </w:rPr>
              <w:t>Provisões para</w:t>
            </w:r>
            <w:proofErr w:type="gramEnd"/>
            <w:r w:rsidRPr="00D15924">
              <w:rPr>
                <w:sz w:val="20"/>
                <w:szCs w:val="20"/>
              </w:rPr>
              <w:t xml:space="preserve"> Crédito de Liquidação Duvidosa e Prestação de Garantias</w:t>
            </w:r>
          </w:p>
        </w:tc>
      </w:tr>
      <w:tr w:rsidR="00064832" w:rsidRPr="00D15924" w:rsidTr="004F7364">
        <w:tc>
          <w:tcPr>
            <w:tcW w:w="5211" w:type="dxa"/>
            <w:vMerge/>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proofErr w:type="gramStart"/>
            <w:r w:rsidRPr="00D15924">
              <w:rPr>
                <w:sz w:val="20"/>
                <w:szCs w:val="20"/>
              </w:rPr>
              <w:t>Provisões para</w:t>
            </w:r>
            <w:proofErr w:type="gramEnd"/>
            <w:r w:rsidRPr="00D15924">
              <w:rPr>
                <w:sz w:val="20"/>
                <w:szCs w:val="20"/>
              </w:rPr>
              <w:t xml:space="preserve"> Perdas com Inventários Comerciais</w:t>
            </w:r>
          </w:p>
        </w:tc>
      </w:tr>
      <w:tr w:rsidR="00064832" w:rsidRPr="00D15924" w:rsidTr="004F7364">
        <w:tc>
          <w:tcPr>
            <w:tcW w:w="5211" w:type="dxa"/>
            <w:vMerge/>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sz w:val="20"/>
                <w:szCs w:val="20"/>
              </w:rPr>
            </w:pPr>
            <w:r w:rsidRPr="00D15924">
              <w:rPr>
                <w:sz w:val="20"/>
                <w:szCs w:val="20"/>
              </w:rPr>
              <w:t>Provisões sobre Outros Valores e Responsabilidades</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Resultado Operacional</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Resultado Operacional</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Resultado Extraordinário</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Pr>
                <w:b/>
                <w:sz w:val="20"/>
                <w:szCs w:val="20"/>
              </w:rPr>
              <w:t>Resul</w:t>
            </w:r>
            <w:r w:rsidRPr="00D15924">
              <w:rPr>
                <w:b/>
                <w:sz w:val="20"/>
                <w:szCs w:val="20"/>
              </w:rPr>
              <w:t>tado Não Operacional</w:t>
            </w:r>
          </w:p>
        </w:tc>
      </w:tr>
      <w:tr w:rsidR="00064832" w:rsidRPr="00D15924" w:rsidTr="004F7364">
        <w:tc>
          <w:tcPr>
            <w:tcW w:w="521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Resultados Antes de Impostos</w:t>
            </w:r>
          </w:p>
        </w:tc>
        <w:tc>
          <w:tcPr>
            <w:tcW w:w="4031" w:type="dxa"/>
            <w:tcBorders>
              <w:top w:val="single" w:sz="4" w:space="0" w:color="BFBFBF" w:themeColor="background1" w:themeShade="BF"/>
              <w:bottom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Resultados Antes de Impostos</w:t>
            </w:r>
          </w:p>
        </w:tc>
      </w:tr>
      <w:tr w:rsidR="00064832" w:rsidRPr="00D15924" w:rsidTr="004F7364">
        <w:tc>
          <w:tcPr>
            <w:tcW w:w="5211" w:type="dxa"/>
            <w:tcBorders>
              <w:top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Provisão para Imposto Industrial</w:t>
            </w:r>
          </w:p>
        </w:tc>
        <w:tc>
          <w:tcPr>
            <w:tcW w:w="4031" w:type="dxa"/>
            <w:tcBorders>
              <w:top w:val="single" w:sz="4" w:space="0" w:color="BFBFBF" w:themeColor="background1" w:themeShade="BF"/>
            </w:tcBorders>
            <w:vAlign w:val="center"/>
          </w:tcPr>
          <w:p w:rsidR="00064832" w:rsidRPr="00D15924" w:rsidRDefault="00064832" w:rsidP="004F7364">
            <w:pPr>
              <w:rPr>
                <w:b/>
                <w:sz w:val="20"/>
                <w:szCs w:val="20"/>
              </w:rPr>
            </w:pPr>
            <w:r w:rsidRPr="00D15924">
              <w:rPr>
                <w:b/>
                <w:sz w:val="20"/>
                <w:szCs w:val="20"/>
              </w:rPr>
              <w:t>Encargos sobre o Resultado Corrente</w:t>
            </w:r>
          </w:p>
        </w:tc>
      </w:tr>
    </w:tbl>
    <w:p w:rsidR="007F7651" w:rsidRDefault="007F7651" w:rsidP="00064832"/>
    <w:sectPr w:rsidR="007F76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50" w:rsidRDefault="00F77F50" w:rsidP="00064832">
      <w:pPr>
        <w:spacing w:line="240" w:lineRule="auto"/>
      </w:pPr>
      <w:r>
        <w:separator/>
      </w:r>
    </w:p>
  </w:endnote>
  <w:endnote w:type="continuationSeparator" w:id="0">
    <w:p w:rsidR="00F77F50" w:rsidRDefault="00F77F50" w:rsidP="00064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50" w:rsidRDefault="00F77F50" w:rsidP="00064832">
      <w:pPr>
        <w:spacing w:line="240" w:lineRule="auto"/>
      </w:pPr>
      <w:r>
        <w:separator/>
      </w:r>
    </w:p>
  </w:footnote>
  <w:footnote w:type="continuationSeparator" w:id="0">
    <w:p w:rsidR="00F77F50" w:rsidRDefault="00F77F50" w:rsidP="00064832">
      <w:pPr>
        <w:spacing w:line="240" w:lineRule="auto"/>
      </w:pPr>
      <w:r>
        <w:continuationSeparator/>
      </w:r>
    </w:p>
  </w:footnote>
  <w:footnote w:id="1">
    <w:p w:rsidR="00064832" w:rsidRPr="00064832" w:rsidRDefault="00064832" w:rsidP="00064832">
      <w:pPr>
        <w:pStyle w:val="Textodenotaderodap"/>
        <w:spacing w:line="360" w:lineRule="auto"/>
        <w:rPr>
          <w:rFonts w:ascii="HelveticaNeueLT Std Lt" w:hAnsi="HelveticaNeueLT Std Lt"/>
          <w:sz w:val="16"/>
          <w:szCs w:val="16"/>
        </w:rPr>
      </w:pPr>
      <w:r w:rsidRPr="00064832">
        <w:rPr>
          <w:rStyle w:val="Refdenotaderodap"/>
          <w:rFonts w:ascii="HelveticaNeueLT Std Lt" w:hAnsi="HelveticaNeueLT Std Lt"/>
          <w:sz w:val="16"/>
          <w:szCs w:val="16"/>
        </w:rPr>
        <w:footnoteRef/>
      </w:r>
      <w:r w:rsidRPr="00064832">
        <w:rPr>
          <w:rFonts w:ascii="HelveticaNeueLT Std Lt" w:hAnsi="HelveticaNeueLT Std Lt"/>
          <w:sz w:val="16"/>
          <w:szCs w:val="16"/>
        </w:rPr>
        <w:t xml:space="preserve"> O mesmo já não se pode dizer dos Fundos Próprios Regulamentares (FPR), tendo pelo menos havido um impacto para todos os bancos decorrente da reclassificação das obras em edifícios arrendados de imobilizado corpóreo para incorpóreo (o imobilizado incorpóreo deve ser deduzido no cálculo dos FPR por ser um elemento do activo sem qualidade do ponto de vista prudencial).</w:t>
      </w:r>
      <w:bookmarkStart w:id="2" w:name="_GoBack"/>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3FA"/>
    <w:multiLevelType w:val="hybridMultilevel"/>
    <w:tmpl w:val="3362C52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nsid w:val="29196012"/>
    <w:multiLevelType w:val="hybridMultilevel"/>
    <w:tmpl w:val="FCE21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32"/>
    <w:rsid w:val="00064832"/>
    <w:rsid w:val="007F7651"/>
    <w:rsid w:val="00F77F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32"/>
    <w:pPr>
      <w:spacing w:after="0" w:line="360" w:lineRule="auto"/>
      <w:jc w:val="both"/>
    </w:pPr>
    <w:rPr>
      <w:rFonts w:ascii="HelveticaNeueLT Std Lt" w:eastAsiaTheme="minorEastAsia" w:hAnsi="HelveticaNeueLT Std Lt"/>
      <w:lang w:eastAsia="pt-PT"/>
    </w:rPr>
  </w:style>
  <w:style w:type="paragraph" w:styleId="Cabealho2">
    <w:name w:val="heading 2"/>
    <w:basedOn w:val="Normal"/>
    <w:next w:val="Normal"/>
    <w:link w:val="Cabealho2Carcter1"/>
    <w:uiPriority w:val="9"/>
    <w:unhideWhenUsed/>
    <w:qFormat/>
    <w:rsid w:val="00064832"/>
    <w:pPr>
      <w:keepNext/>
      <w:keepLines/>
      <w:spacing w:before="200"/>
      <w:outlineLvl w:val="1"/>
    </w:pPr>
    <w:rPr>
      <w:rFonts w:eastAsiaTheme="majorEastAsia" w:cstheme="majorBidi"/>
      <w:b/>
      <w:bCs/>
      <w:color w:val="D81F2A"/>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uiPriority w:val="9"/>
    <w:semiHidden/>
    <w:rsid w:val="00064832"/>
    <w:rPr>
      <w:rFonts w:asciiTheme="majorHAnsi" w:eastAsiaTheme="majorEastAsia" w:hAnsiTheme="majorHAnsi" w:cstheme="majorBidi"/>
      <w:b/>
      <w:bCs/>
      <w:color w:val="4F81BD" w:themeColor="accent1"/>
      <w:sz w:val="26"/>
      <w:szCs w:val="26"/>
      <w:lang w:eastAsia="pt-PT"/>
    </w:rPr>
  </w:style>
  <w:style w:type="character" w:customStyle="1" w:styleId="TextodenotaderodapCarcter">
    <w:name w:val="Texto de nota de rodapé Carácter"/>
    <w:basedOn w:val="Tipodeletrapredefinidodopargrafo"/>
    <w:link w:val="Textodenotaderodap"/>
    <w:uiPriority w:val="99"/>
    <w:rsid w:val="00064832"/>
    <w:rPr>
      <w:rFonts w:asciiTheme="majorHAnsi" w:eastAsiaTheme="minorEastAsia" w:hAnsiTheme="majorHAnsi"/>
      <w:sz w:val="20"/>
      <w:szCs w:val="20"/>
      <w:lang w:eastAsia="pt-PT"/>
    </w:rPr>
  </w:style>
  <w:style w:type="character" w:styleId="Refdenotaderodap">
    <w:name w:val="footnote reference"/>
    <w:basedOn w:val="Tipodeletrapredefinidodopargrafo"/>
    <w:unhideWhenUsed/>
    <w:rsid w:val="00064832"/>
    <w:rPr>
      <w:vertAlign w:val="superscript"/>
    </w:rPr>
  </w:style>
  <w:style w:type="paragraph" w:styleId="Legenda">
    <w:name w:val="caption"/>
    <w:basedOn w:val="Normal"/>
    <w:next w:val="Normal"/>
    <w:uiPriority w:val="35"/>
    <w:unhideWhenUsed/>
    <w:qFormat/>
    <w:rsid w:val="00064832"/>
    <w:pPr>
      <w:keepNext/>
    </w:pPr>
    <w:rPr>
      <w:b/>
      <w:bCs/>
      <w:noProof/>
      <w:szCs w:val="18"/>
    </w:rPr>
  </w:style>
  <w:style w:type="paragraph" w:styleId="PargrafodaLista">
    <w:name w:val="List Paragraph"/>
    <w:basedOn w:val="Normal"/>
    <w:uiPriority w:val="34"/>
    <w:qFormat/>
    <w:rsid w:val="00064832"/>
    <w:pPr>
      <w:ind w:left="720"/>
      <w:contextualSpacing/>
    </w:pPr>
  </w:style>
  <w:style w:type="character" w:customStyle="1" w:styleId="Cabealho2Carcter1">
    <w:name w:val="Cabeçalho 2 Carácter1"/>
    <w:basedOn w:val="Tipodeletrapredefinidodopargrafo"/>
    <w:link w:val="Cabealho2"/>
    <w:uiPriority w:val="9"/>
    <w:rsid w:val="00064832"/>
    <w:rPr>
      <w:rFonts w:ascii="HelveticaNeueLT Std Lt" w:eastAsiaTheme="majorEastAsia" w:hAnsi="HelveticaNeueLT Std Lt" w:cstheme="majorBidi"/>
      <w:b/>
      <w:bCs/>
      <w:color w:val="D81F2A"/>
      <w:sz w:val="26"/>
      <w:szCs w:val="26"/>
      <w:lang w:eastAsia="pt-PT"/>
    </w:rPr>
  </w:style>
  <w:style w:type="table" w:styleId="Tabelacomgrelha">
    <w:name w:val="Table Grid"/>
    <w:basedOn w:val="Tabelanormal"/>
    <w:uiPriority w:val="59"/>
    <w:rsid w:val="00064832"/>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unhideWhenUsed/>
    <w:rsid w:val="00064832"/>
    <w:pPr>
      <w:spacing w:line="240" w:lineRule="auto"/>
    </w:pPr>
    <w:rPr>
      <w:rFonts w:asciiTheme="majorHAnsi" w:hAnsiTheme="majorHAnsi"/>
      <w:sz w:val="20"/>
      <w:szCs w:val="20"/>
    </w:rPr>
  </w:style>
  <w:style w:type="character" w:customStyle="1" w:styleId="TextodenotaderodapCarcter1">
    <w:name w:val="Texto de nota de rodapé Carácter1"/>
    <w:basedOn w:val="Tipodeletrapredefinidodopargrafo"/>
    <w:uiPriority w:val="99"/>
    <w:semiHidden/>
    <w:rsid w:val="00064832"/>
    <w:rPr>
      <w:rFonts w:ascii="HelveticaNeueLT Std Lt" w:eastAsiaTheme="minorEastAsia" w:hAnsi="HelveticaNeueLT Std Lt"/>
      <w:sz w:val="20"/>
      <w:szCs w:val="20"/>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32"/>
    <w:pPr>
      <w:spacing w:after="0" w:line="360" w:lineRule="auto"/>
      <w:jc w:val="both"/>
    </w:pPr>
    <w:rPr>
      <w:rFonts w:ascii="HelveticaNeueLT Std Lt" w:eastAsiaTheme="minorEastAsia" w:hAnsi="HelveticaNeueLT Std Lt"/>
      <w:lang w:eastAsia="pt-PT"/>
    </w:rPr>
  </w:style>
  <w:style w:type="paragraph" w:styleId="Cabealho2">
    <w:name w:val="heading 2"/>
    <w:basedOn w:val="Normal"/>
    <w:next w:val="Normal"/>
    <w:link w:val="Cabealho2Carcter1"/>
    <w:uiPriority w:val="9"/>
    <w:unhideWhenUsed/>
    <w:qFormat/>
    <w:rsid w:val="00064832"/>
    <w:pPr>
      <w:keepNext/>
      <w:keepLines/>
      <w:spacing w:before="200"/>
      <w:outlineLvl w:val="1"/>
    </w:pPr>
    <w:rPr>
      <w:rFonts w:eastAsiaTheme="majorEastAsia" w:cstheme="majorBidi"/>
      <w:b/>
      <w:bCs/>
      <w:color w:val="D81F2A"/>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uiPriority w:val="9"/>
    <w:semiHidden/>
    <w:rsid w:val="00064832"/>
    <w:rPr>
      <w:rFonts w:asciiTheme="majorHAnsi" w:eastAsiaTheme="majorEastAsia" w:hAnsiTheme="majorHAnsi" w:cstheme="majorBidi"/>
      <w:b/>
      <w:bCs/>
      <w:color w:val="4F81BD" w:themeColor="accent1"/>
      <w:sz w:val="26"/>
      <w:szCs w:val="26"/>
      <w:lang w:eastAsia="pt-PT"/>
    </w:rPr>
  </w:style>
  <w:style w:type="character" w:customStyle="1" w:styleId="TextodenotaderodapCarcter">
    <w:name w:val="Texto de nota de rodapé Carácter"/>
    <w:basedOn w:val="Tipodeletrapredefinidodopargrafo"/>
    <w:link w:val="Textodenotaderodap"/>
    <w:uiPriority w:val="99"/>
    <w:rsid w:val="00064832"/>
    <w:rPr>
      <w:rFonts w:asciiTheme="majorHAnsi" w:eastAsiaTheme="minorEastAsia" w:hAnsiTheme="majorHAnsi"/>
      <w:sz w:val="20"/>
      <w:szCs w:val="20"/>
      <w:lang w:eastAsia="pt-PT"/>
    </w:rPr>
  </w:style>
  <w:style w:type="character" w:styleId="Refdenotaderodap">
    <w:name w:val="footnote reference"/>
    <w:basedOn w:val="Tipodeletrapredefinidodopargrafo"/>
    <w:unhideWhenUsed/>
    <w:rsid w:val="00064832"/>
    <w:rPr>
      <w:vertAlign w:val="superscript"/>
    </w:rPr>
  </w:style>
  <w:style w:type="paragraph" w:styleId="Legenda">
    <w:name w:val="caption"/>
    <w:basedOn w:val="Normal"/>
    <w:next w:val="Normal"/>
    <w:uiPriority w:val="35"/>
    <w:unhideWhenUsed/>
    <w:qFormat/>
    <w:rsid w:val="00064832"/>
    <w:pPr>
      <w:keepNext/>
    </w:pPr>
    <w:rPr>
      <w:b/>
      <w:bCs/>
      <w:noProof/>
      <w:szCs w:val="18"/>
    </w:rPr>
  </w:style>
  <w:style w:type="paragraph" w:styleId="PargrafodaLista">
    <w:name w:val="List Paragraph"/>
    <w:basedOn w:val="Normal"/>
    <w:uiPriority w:val="34"/>
    <w:qFormat/>
    <w:rsid w:val="00064832"/>
    <w:pPr>
      <w:ind w:left="720"/>
      <w:contextualSpacing/>
    </w:pPr>
  </w:style>
  <w:style w:type="character" w:customStyle="1" w:styleId="Cabealho2Carcter1">
    <w:name w:val="Cabeçalho 2 Carácter1"/>
    <w:basedOn w:val="Tipodeletrapredefinidodopargrafo"/>
    <w:link w:val="Cabealho2"/>
    <w:uiPriority w:val="9"/>
    <w:rsid w:val="00064832"/>
    <w:rPr>
      <w:rFonts w:ascii="HelveticaNeueLT Std Lt" w:eastAsiaTheme="majorEastAsia" w:hAnsi="HelveticaNeueLT Std Lt" w:cstheme="majorBidi"/>
      <w:b/>
      <w:bCs/>
      <w:color w:val="D81F2A"/>
      <w:sz w:val="26"/>
      <w:szCs w:val="26"/>
      <w:lang w:eastAsia="pt-PT"/>
    </w:rPr>
  </w:style>
  <w:style w:type="table" w:styleId="Tabelacomgrelha">
    <w:name w:val="Table Grid"/>
    <w:basedOn w:val="Tabelanormal"/>
    <w:uiPriority w:val="59"/>
    <w:rsid w:val="00064832"/>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unhideWhenUsed/>
    <w:rsid w:val="00064832"/>
    <w:pPr>
      <w:spacing w:line="240" w:lineRule="auto"/>
    </w:pPr>
    <w:rPr>
      <w:rFonts w:asciiTheme="majorHAnsi" w:hAnsiTheme="majorHAnsi"/>
      <w:sz w:val="20"/>
      <w:szCs w:val="20"/>
    </w:rPr>
  </w:style>
  <w:style w:type="character" w:customStyle="1" w:styleId="TextodenotaderodapCarcter1">
    <w:name w:val="Texto de nota de rodapé Carácter1"/>
    <w:basedOn w:val="Tipodeletrapredefinidodopargrafo"/>
    <w:uiPriority w:val="99"/>
    <w:semiHidden/>
    <w:rsid w:val="00064832"/>
    <w:rPr>
      <w:rFonts w:ascii="HelveticaNeueLT Std Lt" w:eastAsiaTheme="minorEastAsia" w:hAnsi="HelveticaNeueLT Std Lt"/>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Niria Oramalu</dc:creator>
  <cp:lastModifiedBy>Niria Oramalu</cp:lastModifiedBy>
  <cp:revision>1</cp:revision>
  <dcterms:created xsi:type="dcterms:W3CDTF">2014-11-07T10:50:00Z</dcterms:created>
  <dcterms:modified xsi:type="dcterms:W3CDTF">2014-11-07T10:54:00Z</dcterms:modified>
</cp:coreProperties>
</file>