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32" w:rsidRPr="000005C0" w:rsidRDefault="00064832" w:rsidP="00064832">
      <w:pPr>
        <w:pStyle w:val="Cabealho2"/>
        <w:ind w:left="720"/>
        <w:rPr>
          <w:lang w:val="en-US"/>
        </w:rPr>
      </w:pPr>
      <w:bookmarkStart w:id="0" w:name="_Toc357409348"/>
      <w:bookmarkStart w:id="1" w:name="_Toc401576549"/>
      <w:r w:rsidRPr="000005C0">
        <w:rPr>
          <w:lang w:val="en-US"/>
        </w:rPr>
        <w:t>Compatibili</w:t>
      </w:r>
      <w:r w:rsidR="00C26E62" w:rsidRPr="000005C0">
        <w:rPr>
          <w:lang w:val="en-US"/>
        </w:rPr>
        <w:t>ty between</w:t>
      </w:r>
      <w:r w:rsidRPr="000005C0">
        <w:rPr>
          <w:lang w:val="en-US"/>
        </w:rPr>
        <w:t xml:space="preserve"> PCIF </w:t>
      </w:r>
      <w:r w:rsidR="00C26E62" w:rsidRPr="000005C0">
        <w:rPr>
          <w:lang w:val="en-US"/>
        </w:rPr>
        <w:t>and</w:t>
      </w:r>
      <w:r w:rsidRPr="000005C0">
        <w:rPr>
          <w:lang w:val="en-US"/>
        </w:rPr>
        <w:t xml:space="preserve"> CONTIF</w:t>
      </w:r>
      <w:bookmarkEnd w:id="0"/>
      <w:bookmarkEnd w:id="1"/>
    </w:p>
    <w:p w:rsidR="00064832" w:rsidRPr="000005C0" w:rsidRDefault="00064832" w:rsidP="00064832">
      <w:pPr>
        <w:rPr>
          <w:sz w:val="14"/>
          <w:lang w:val="en-US"/>
        </w:rPr>
      </w:pPr>
    </w:p>
    <w:p w:rsidR="00064832" w:rsidRPr="00DD5231" w:rsidRDefault="00C26E62" w:rsidP="00064832">
      <w:pPr>
        <w:ind w:firstLine="720"/>
        <w:rPr>
          <w:lang w:val="en-US"/>
        </w:rPr>
      </w:pPr>
      <w:r w:rsidRPr="00C26E62">
        <w:rPr>
          <w:lang w:val="en-US"/>
        </w:rPr>
        <w:t xml:space="preserve">The Plano de </w:t>
      </w:r>
      <w:proofErr w:type="spellStart"/>
      <w:r w:rsidRPr="00C26E62">
        <w:rPr>
          <w:lang w:val="en-US"/>
        </w:rPr>
        <w:t>Contas</w:t>
      </w:r>
      <w:proofErr w:type="spellEnd"/>
      <w:r w:rsidRPr="00C26E62">
        <w:rPr>
          <w:lang w:val="en-US"/>
        </w:rPr>
        <w:t xml:space="preserve"> das </w:t>
      </w:r>
      <w:proofErr w:type="spellStart"/>
      <w:r w:rsidRPr="00C26E62">
        <w:rPr>
          <w:lang w:val="en-US"/>
        </w:rPr>
        <w:t>Instituições</w:t>
      </w:r>
      <w:proofErr w:type="spellEnd"/>
      <w:r w:rsidRPr="00C26E62">
        <w:rPr>
          <w:lang w:val="en-US"/>
        </w:rPr>
        <w:t xml:space="preserve"> </w:t>
      </w:r>
      <w:proofErr w:type="spellStart"/>
      <w:r w:rsidRPr="00C26E62">
        <w:rPr>
          <w:lang w:val="en-US"/>
        </w:rPr>
        <w:t>Financeiras</w:t>
      </w:r>
      <w:proofErr w:type="spellEnd"/>
      <w:r w:rsidRPr="00C26E62">
        <w:rPr>
          <w:lang w:val="en-US"/>
        </w:rPr>
        <w:t xml:space="preserve"> (</w:t>
      </w:r>
      <w:r w:rsidR="00064832" w:rsidRPr="00C26E62">
        <w:rPr>
          <w:lang w:val="en-US"/>
        </w:rPr>
        <w:t>CONTIF</w:t>
      </w:r>
      <w:r w:rsidRPr="00C26E62">
        <w:rPr>
          <w:lang w:val="en-US"/>
        </w:rPr>
        <w:t xml:space="preserve"> Chart of Accounts of Financial Institutions)</w:t>
      </w:r>
      <w:r w:rsidR="00064832" w:rsidRPr="00C26E62">
        <w:rPr>
          <w:lang w:val="en-US"/>
        </w:rPr>
        <w:t xml:space="preserve"> </w:t>
      </w:r>
      <w:r w:rsidRPr="00C26E62">
        <w:rPr>
          <w:lang w:val="en-US"/>
        </w:rPr>
        <w:t>was</w:t>
      </w:r>
      <w:r w:rsidR="00064832" w:rsidRPr="00C26E62">
        <w:rPr>
          <w:lang w:val="en-US"/>
        </w:rPr>
        <w:t xml:space="preserve"> </w:t>
      </w:r>
      <w:r w:rsidRPr="00C26E62">
        <w:rPr>
          <w:lang w:val="en-US"/>
        </w:rPr>
        <w:t>approved by the Instruction</w:t>
      </w:r>
      <w:r w:rsidR="00064832" w:rsidRPr="00C26E62">
        <w:rPr>
          <w:lang w:val="en-US"/>
        </w:rPr>
        <w:t xml:space="preserve"> n</w:t>
      </w:r>
      <w:r w:rsidRPr="00C26E62">
        <w:rPr>
          <w:lang w:val="en-US"/>
        </w:rPr>
        <w:t>o.</w:t>
      </w:r>
      <w:r w:rsidR="00064832" w:rsidRPr="00C26E62">
        <w:rPr>
          <w:lang w:val="en-US"/>
        </w:rPr>
        <w:t xml:space="preserve"> 9/2007 </w:t>
      </w:r>
      <w:r w:rsidRPr="00C26E62">
        <w:rPr>
          <w:lang w:val="en-US"/>
        </w:rPr>
        <w:t>of</w:t>
      </w:r>
      <w:r w:rsidR="00064832" w:rsidRPr="00C26E62">
        <w:rPr>
          <w:lang w:val="en-US"/>
        </w:rPr>
        <w:t xml:space="preserve"> BNA, </w:t>
      </w:r>
      <w:r w:rsidRPr="00C26E62">
        <w:rPr>
          <w:lang w:val="en-US"/>
        </w:rPr>
        <w:t>of</w:t>
      </w:r>
      <w:r w:rsidR="00064832" w:rsidRPr="00C26E62">
        <w:rPr>
          <w:lang w:val="en-US"/>
        </w:rPr>
        <w:t xml:space="preserve"> </w:t>
      </w:r>
      <w:r w:rsidRPr="00C26E62">
        <w:rPr>
          <w:lang w:val="en-US"/>
        </w:rPr>
        <w:t>Septembe</w:t>
      </w:r>
      <w:r w:rsidR="00DD5231">
        <w:rPr>
          <w:lang w:val="en-US"/>
        </w:rPr>
        <w:t>r</w:t>
      </w:r>
      <w:r w:rsidR="00794197">
        <w:rPr>
          <w:lang w:val="en-US"/>
        </w:rPr>
        <w:t xml:space="preserve"> 19</w:t>
      </w:r>
      <w:r w:rsidRPr="00C26E62">
        <w:rPr>
          <w:lang w:val="en-US"/>
        </w:rPr>
        <w:t>, aiming to harmonize the accounting standards applicable to the banking sector to International Financial Reporting Standards (IFR</w:t>
      </w:r>
      <w:r>
        <w:rPr>
          <w:lang w:val="en-US"/>
        </w:rPr>
        <w:t>S)</w:t>
      </w:r>
      <w:r w:rsidR="00064832" w:rsidRPr="00C26E62">
        <w:rPr>
          <w:lang w:val="en-US"/>
        </w:rPr>
        <w:t xml:space="preserve">. </w:t>
      </w:r>
      <w:r w:rsidR="00DD5231" w:rsidRPr="00DD5231">
        <w:rPr>
          <w:lang w:val="en-US"/>
        </w:rPr>
        <w:t xml:space="preserve">Until </w:t>
      </w:r>
      <w:r w:rsidR="00064832" w:rsidRPr="00DD5231">
        <w:rPr>
          <w:lang w:val="en-US"/>
        </w:rPr>
        <w:t xml:space="preserve"> </w:t>
      </w:r>
      <w:r w:rsidR="00794197" w:rsidRPr="00DD5231">
        <w:rPr>
          <w:lang w:val="en-US"/>
        </w:rPr>
        <w:t>December</w:t>
      </w:r>
      <w:r w:rsidR="00064832" w:rsidRPr="00DD5231">
        <w:rPr>
          <w:lang w:val="en-US"/>
        </w:rPr>
        <w:t xml:space="preserve"> </w:t>
      </w:r>
      <w:r w:rsidR="00794197" w:rsidRPr="00DD5231">
        <w:rPr>
          <w:lang w:val="en-US"/>
        </w:rPr>
        <w:t>31</w:t>
      </w:r>
      <w:r w:rsidR="00794197">
        <w:rPr>
          <w:lang w:val="en-US"/>
        </w:rPr>
        <w:t xml:space="preserve">, </w:t>
      </w:r>
      <w:r w:rsidR="00064832" w:rsidRPr="00DD5231">
        <w:rPr>
          <w:lang w:val="en-US"/>
        </w:rPr>
        <w:t xml:space="preserve">2009, </w:t>
      </w:r>
      <w:r w:rsidR="00DD5231" w:rsidRPr="00DD5231">
        <w:rPr>
          <w:lang w:val="en-US"/>
        </w:rPr>
        <w:t xml:space="preserve">financial statements were prepared in accordance with the principles of the previous </w:t>
      </w:r>
      <w:r w:rsidR="00064832" w:rsidRPr="00DD5231">
        <w:rPr>
          <w:lang w:val="en-US"/>
        </w:rPr>
        <w:t xml:space="preserve"> Plano de </w:t>
      </w:r>
      <w:proofErr w:type="spellStart"/>
      <w:r w:rsidR="00064832" w:rsidRPr="00DD5231">
        <w:rPr>
          <w:lang w:val="en-US"/>
        </w:rPr>
        <w:t>Contas</w:t>
      </w:r>
      <w:proofErr w:type="spellEnd"/>
      <w:r w:rsidR="00064832" w:rsidRPr="00DD5231">
        <w:rPr>
          <w:lang w:val="en-US"/>
        </w:rPr>
        <w:t xml:space="preserve"> das </w:t>
      </w:r>
      <w:proofErr w:type="spellStart"/>
      <w:r w:rsidR="00064832" w:rsidRPr="00DD5231">
        <w:rPr>
          <w:lang w:val="en-US"/>
        </w:rPr>
        <w:t>Instituições</w:t>
      </w:r>
      <w:proofErr w:type="spellEnd"/>
      <w:r w:rsidR="00064832" w:rsidRPr="00DD5231">
        <w:rPr>
          <w:lang w:val="en-US"/>
        </w:rPr>
        <w:t xml:space="preserve"> </w:t>
      </w:r>
      <w:proofErr w:type="spellStart"/>
      <w:r w:rsidR="00064832" w:rsidRPr="00DD5231">
        <w:rPr>
          <w:lang w:val="en-US"/>
        </w:rPr>
        <w:t>Financeiras</w:t>
      </w:r>
      <w:proofErr w:type="spellEnd"/>
      <w:r w:rsidR="00064832" w:rsidRPr="00DD5231">
        <w:rPr>
          <w:lang w:val="en-US"/>
        </w:rPr>
        <w:t xml:space="preserve"> (PCIF</w:t>
      </w:r>
      <w:r w:rsidR="00DD5231" w:rsidRPr="00DD5231">
        <w:rPr>
          <w:lang w:val="en-US"/>
        </w:rPr>
        <w:t xml:space="preserve"> – Chart of Accounts of Financial Institutions</w:t>
      </w:r>
      <w:r w:rsidR="00064832" w:rsidRPr="00DD5231">
        <w:rPr>
          <w:lang w:val="en-US"/>
        </w:rPr>
        <w:t xml:space="preserve">), </w:t>
      </w:r>
      <w:r w:rsidR="00DD5231" w:rsidRPr="00DD5231">
        <w:rPr>
          <w:lang w:val="en-US"/>
        </w:rPr>
        <w:t>in accordance with the I</w:t>
      </w:r>
      <w:r w:rsidR="00064832" w:rsidRPr="00DD5231">
        <w:rPr>
          <w:lang w:val="en-US"/>
        </w:rPr>
        <w:t>nstru</w:t>
      </w:r>
      <w:r w:rsidR="00DD5231">
        <w:rPr>
          <w:lang w:val="en-US"/>
        </w:rPr>
        <w:t>c</w:t>
      </w:r>
      <w:r w:rsidR="00064832" w:rsidRPr="00DD5231">
        <w:rPr>
          <w:lang w:val="en-US"/>
        </w:rPr>
        <w:t>tiv</w:t>
      </w:r>
      <w:r w:rsidR="00DD5231">
        <w:rPr>
          <w:lang w:val="en-US"/>
        </w:rPr>
        <w:t>e</w:t>
      </w:r>
      <w:r w:rsidR="00064832" w:rsidRPr="00DD5231">
        <w:rPr>
          <w:lang w:val="en-US"/>
        </w:rPr>
        <w:t xml:space="preserve"> n</w:t>
      </w:r>
      <w:r w:rsidR="00DD5231">
        <w:rPr>
          <w:lang w:val="en-US"/>
        </w:rPr>
        <w:t xml:space="preserve">o. </w:t>
      </w:r>
      <w:r w:rsidR="00064832" w:rsidRPr="00DD5231">
        <w:rPr>
          <w:lang w:val="en-US"/>
        </w:rPr>
        <w:t xml:space="preserve">13/1999, </w:t>
      </w:r>
      <w:r w:rsidR="00DD5231">
        <w:rPr>
          <w:lang w:val="en-US"/>
        </w:rPr>
        <w:t>of</w:t>
      </w:r>
      <w:r w:rsidR="00064832" w:rsidRPr="00DD5231">
        <w:rPr>
          <w:lang w:val="en-US"/>
        </w:rPr>
        <w:t xml:space="preserve"> Se</w:t>
      </w:r>
      <w:r w:rsidR="00DD5231">
        <w:rPr>
          <w:lang w:val="en-US"/>
        </w:rPr>
        <w:t>ptember</w:t>
      </w:r>
      <w:r w:rsidR="00794197">
        <w:rPr>
          <w:lang w:val="en-US"/>
        </w:rPr>
        <w:t xml:space="preserve"> 1,</w:t>
      </w:r>
      <w:r w:rsidR="00DD5231">
        <w:rPr>
          <w:lang w:val="en-US"/>
        </w:rPr>
        <w:t xml:space="preserve"> issued by BN</w:t>
      </w:r>
      <w:r w:rsidR="00064832" w:rsidRPr="00DD5231">
        <w:rPr>
          <w:lang w:val="en-US"/>
        </w:rPr>
        <w:t>A.</w:t>
      </w:r>
    </w:p>
    <w:p w:rsidR="00064832" w:rsidRPr="003E6F9E" w:rsidRDefault="003E6F9E" w:rsidP="00064832">
      <w:pPr>
        <w:ind w:firstLine="720"/>
        <w:rPr>
          <w:lang w:val="en-US"/>
        </w:rPr>
      </w:pPr>
      <w:r w:rsidRPr="003E6F9E">
        <w:rPr>
          <w:lang w:val="en-US"/>
        </w:rPr>
        <w:t>The 2010 financial statements were the first presented by banks according to the CONTI</w:t>
      </w:r>
      <w:r>
        <w:rPr>
          <w:lang w:val="en-US"/>
        </w:rPr>
        <w:t>F, with the financial statements of 2009 being restated to enable comparability</w:t>
      </w:r>
      <w:r w:rsidR="00064832" w:rsidRPr="003E6F9E">
        <w:rPr>
          <w:lang w:val="en-US"/>
        </w:rPr>
        <w:t xml:space="preserve">. </w:t>
      </w:r>
      <w:r w:rsidRPr="003E6F9E">
        <w:rPr>
          <w:lang w:val="en-US"/>
        </w:rPr>
        <w:t>In the reports of ABANC, as well as an</w:t>
      </w:r>
      <w:r>
        <w:rPr>
          <w:lang w:val="en-US"/>
        </w:rPr>
        <w:t>y</w:t>
      </w:r>
      <w:r w:rsidRPr="003E6F9E">
        <w:rPr>
          <w:lang w:val="en-US"/>
        </w:rPr>
        <w:t xml:space="preserve"> available financial information, the financial statements for the period 2006-2008, as we</w:t>
      </w:r>
      <w:r>
        <w:rPr>
          <w:lang w:val="en-US"/>
        </w:rPr>
        <w:t>l</w:t>
      </w:r>
      <w:r w:rsidRPr="003E6F9E">
        <w:rPr>
          <w:lang w:val="en-US"/>
        </w:rPr>
        <w:t>l as the financial statements of some banks for the financial ye</w:t>
      </w:r>
      <w:r>
        <w:rPr>
          <w:lang w:val="en-US"/>
        </w:rPr>
        <w:t xml:space="preserve">ar of 2009 has been restated under the responsibility of ABANC, to </w:t>
      </w:r>
      <w:r w:rsidR="005E48CC">
        <w:rPr>
          <w:lang w:val="en-US"/>
        </w:rPr>
        <w:t xml:space="preserve">allow </w:t>
      </w:r>
      <w:r>
        <w:rPr>
          <w:lang w:val="en-US"/>
        </w:rPr>
        <w:t xml:space="preserve">the comparative analysis of the sector from 2006 to 2013. </w:t>
      </w:r>
      <w:r w:rsidRPr="003E6F9E">
        <w:rPr>
          <w:lang w:val="en-US"/>
        </w:rPr>
        <w:t xml:space="preserve">The changes did not cover prudential ratios presented whose source is </w:t>
      </w:r>
      <w:r>
        <w:rPr>
          <w:lang w:val="en-US"/>
        </w:rPr>
        <w:t xml:space="preserve">the </w:t>
      </w:r>
      <w:r w:rsidR="00064832" w:rsidRPr="003E6F9E">
        <w:rPr>
          <w:lang w:val="en-US"/>
        </w:rPr>
        <w:t xml:space="preserve">BNA. </w:t>
      </w:r>
    </w:p>
    <w:p w:rsidR="00064832" w:rsidRPr="003E6F9E" w:rsidRDefault="003E6F9E" w:rsidP="00064832">
      <w:pPr>
        <w:ind w:firstLine="720"/>
        <w:rPr>
          <w:lang w:val="en-US"/>
        </w:rPr>
      </w:pPr>
      <w:r w:rsidRPr="003E6F9E">
        <w:rPr>
          <w:lang w:val="en-US"/>
        </w:rPr>
        <w:t xml:space="preserve">There were no impacts on the </w:t>
      </w:r>
      <w:r w:rsidR="00956D40">
        <w:rPr>
          <w:lang w:val="en-US"/>
        </w:rPr>
        <w:t xml:space="preserve">equity side on the </w:t>
      </w:r>
      <w:r w:rsidRPr="003E6F9E">
        <w:rPr>
          <w:lang w:val="en-US"/>
        </w:rPr>
        <w:t>balance sheet from th</w:t>
      </w:r>
      <w:r>
        <w:rPr>
          <w:lang w:val="en-US"/>
        </w:rPr>
        <w:t>e adoption of CONTIF in 2010</w:t>
      </w:r>
      <w:r w:rsidR="00064832">
        <w:rPr>
          <w:rStyle w:val="Refdenotaderodap"/>
        </w:rPr>
        <w:footnoteReference w:id="1"/>
      </w:r>
      <w:r w:rsidR="00064832" w:rsidRPr="003E6F9E">
        <w:rPr>
          <w:lang w:val="en-US"/>
        </w:rPr>
        <w:t xml:space="preserve">. </w:t>
      </w:r>
      <w:r w:rsidRPr="003E6F9E">
        <w:rPr>
          <w:lang w:val="en-US"/>
        </w:rPr>
        <w:t>The major changes are reflected in the presentation of the b</w:t>
      </w:r>
      <w:r>
        <w:rPr>
          <w:lang w:val="en-US"/>
        </w:rPr>
        <w:t>alance sheet and the income statement, in particular,</w:t>
      </w:r>
    </w:p>
    <w:p w:rsidR="00064832" w:rsidRPr="005152C4" w:rsidRDefault="003E6F9E" w:rsidP="00064832">
      <w:pPr>
        <w:pStyle w:val="PargrafodaLista"/>
        <w:numPr>
          <w:ilvl w:val="0"/>
          <w:numId w:val="2"/>
        </w:numPr>
      </w:pP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Balance </w:t>
      </w:r>
      <w:proofErr w:type="spellStart"/>
      <w:r>
        <w:t>Sheet</w:t>
      </w:r>
      <w:proofErr w:type="spellEnd"/>
      <w:r w:rsidR="00064832" w:rsidRPr="005152C4">
        <w:t>:</w:t>
      </w:r>
    </w:p>
    <w:p w:rsidR="00064832" w:rsidRPr="005152C4" w:rsidRDefault="003E6F9E" w:rsidP="00064832">
      <w:pPr>
        <w:pStyle w:val="PargrafodaLista"/>
        <w:numPr>
          <w:ilvl w:val="0"/>
          <w:numId w:val="1"/>
        </w:numPr>
      </w:pPr>
      <w:proofErr w:type="spellStart"/>
      <w:r>
        <w:t>Securities</w:t>
      </w:r>
      <w:proofErr w:type="spellEnd"/>
    </w:p>
    <w:p w:rsidR="00064832" w:rsidRPr="003E6F9E" w:rsidRDefault="003E6F9E" w:rsidP="00064832">
      <w:pPr>
        <w:pStyle w:val="PargrafodaLista"/>
        <w:numPr>
          <w:ilvl w:val="0"/>
          <w:numId w:val="1"/>
        </w:numPr>
        <w:rPr>
          <w:lang w:val="en-US"/>
        </w:rPr>
      </w:pPr>
      <w:r w:rsidRPr="003E6F9E">
        <w:rPr>
          <w:lang w:val="en-US"/>
        </w:rPr>
        <w:t>Interest Receivable and Costs of Fi</w:t>
      </w:r>
      <w:r>
        <w:rPr>
          <w:lang w:val="en-US"/>
        </w:rPr>
        <w:t>n</w:t>
      </w:r>
      <w:r w:rsidRPr="003E6F9E">
        <w:rPr>
          <w:lang w:val="en-US"/>
        </w:rPr>
        <w:t>ancial Instruments</w:t>
      </w:r>
    </w:p>
    <w:p w:rsidR="00064832" w:rsidRDefault="003E6F9E" w:rsidP="00064832">
      <w:pPr>
        <w:pStyle w:val="PargrafodaLista"/>
        <w:numPr>
          <w:ilvl w:val="0"/>
          <w:numId w:val="1"/>
        </w:numPr>
      </w:pPr>
      <w:proofErr w:type="spellStart"/>
      <w:r>
        <w:t>Foreign</w:t>
      </w:r>
      <w:proofErr w:type="spellEnd"/>
      <w:r>
        <w:t xml:space="preserve"> Exchange</w:t>
      </w:r>
    </w:p>
    <w:p w:rsidR="00064832" w:rsidRPr="005152C4" w:rsidRDefault="003E6F9E" w:rsidP="00064832">
      <w:pPr>
        <w:pStyle w:val="PargrafodaLista"/>
        <w:numPr>
          <w:ilvl w:val="0"/>
          <w:numId w:val="1"/>
        </w:numPr>
      </w:pPr>
      <w:r>
        <w:t xml:space="preserve">Works in </w:t>
      </w:r>
      <w:proofErr w:type="spellStart"/>
      <w:r>
        <w:t>Rented</w:t>
      </w:r>
      <w:proofErr w:type="spellEnd"/>
      <w:r>
        <w:t xml:space="preserve"> </w:t>
      </w:r>
      <w:proofErr w:type="spellStart"/>
      <w:r>
        <w:t>Buildings</w:t>
      </w:r>
      <w:proofErr w:type="spellEnd"/>
    </w:p>
    <w:p w:rsidR="00064832" w:rsidRPr="005152C4" w:rsidRDefault="003E6F9E" w:rsidP="00064832">
      <w:pPr>
        <w:pStyle w:val="PargrafodaLista"/>
        <w:numPr>
          <w:ilvl w:val="0"/>
          <w:numId w:val="1"/>
        </w:numPr>
      </w:pPr>
      <w:proofErr w:type="spellStart"/>
      <w:r>
        <w:t>Asset</w:t>
      </w:r>
      <w:proofErr w:type="spellEnd"/>
      <w:r>
        <w:t xml:space="preserve"> </w:t>
      </w:r>
      <w:proofErr w:type="spellStart"/>
      <w:r>
        <w:t>Revaluation</w:t>
      </w:r>
      <w:proofErr w:type="spellEnd"/>
      <w:r>
        <w:t xml:space="preserve"> Reserves</w:t>
      </w:r>
    </w:p>
    <w:p w:rsidR="00064832" w:rsidRPr="005152C4" w:rsidRDefault="003E6F9E" w:rsidP="00064832">
      <w:pPr>
        <w:pStyle w:val="PargrafodaLista"/>
        <w:numPr>
          <w:ilvl w:val="0"/>
          <w:numId w:val="2"/>
        </w:numPr>
      </w:pP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Income </w:t>
      </w:r>
      <w:proofErr w:type="spellStart"/>
      <w:r>
        <w:t>Statement</w:t>
      </w:r>
      <w:proofErr w:type="spellEnd"/>
      <w:r w:rsidR="00064832" w:rsidRPr="005152C4">
        <w:t>:</w:t>
      </w:r>
    </w:p>
    <w:p w:rsidR="00064832" w:rsidRPr="005152C4" w:rsidRDefault="00064832" w:rsidP="00064832">
      <w:pPr>
        <w:pStyle w:val="PargrafodaLista"/>
        <w:numPr>
          <w:ilvl w:val="0"/>
          <w:numId w:val="1"/>
        </w:numPr>
      </w:pPr>
      <w:proofErr w:type="spellStart"/>
      <w:r w:rsidRPr="005152C4">
        <w:t>Extraordin</w:t>
      </w:r>
      <w:r w:rsidR="003E6F9E">
        <w:t>ary</w:t>
      </w:r>
      <w:proofErr w:type="spellEnd"/>
      <w:r w:rsidR="003E6F9E">
        <w:t xml:space="preserve"> </w:t>
      </w:r>
      <w:proofErr w:type="spellStart"/>
      <w:r w:rsidR="003E6F9E">
        <w:t>Results</w:t>
      </w:r>
      <w:proofErr w:type="spellEnd"/>
    </w:p>
    <w:p w:rsidR="00064832" w:rsidRPr="005152C4" w:rsidRDefault="00064832" w:rsidP="00064832"/>
    <w:p w:rsidR="00064832" w:rsidRPr="003E6F9E" w:rsidRDefault="003E6F9E" w:rsidP="00064832">
      <w:pPr>
        <w:ind w:firstLine="360"/>
        <w:rPr>
          <w:lang w:val="en-US"/>
        </w:rPr>
      </w:pPr>
      <w:r w:rsidRPr="003E6F9E">
        <w:rPr>
          <w:lang w:val="en-US"/>
        </w:rPr>
        <w:t>The following table shows the correspondence between the chart of accou</w:t>
      </w:r>
      <w:r>
        <w:rPr>
          <w:lang w:val="en-US"/>
        </w:rPr>
        <w:t xml:space="preserve">nts </w:t>
      </w:r>
      <w:r w:rsidR="00064832" w:rsidRPr="003E6F9E">
        <w:rPr>
          <w:lang w:val="en-US"/>
        </w:rPr>
        <w:t xml:space="preserve">PCIF </w:t>
      </w:r>
      <w:r>
        <w:rPr>
          <w:lang w:val="en-US"/>
        </w:rPr>
        <w:t>and</w:t>
      </w:r>
      <w:r w:rsidR="00064832" w:rsidRPr="003E6F9E">
        <w:rPr>
          <w:lang w:val="en-US"/>
        </w:rPr>
        <w:t xml:space="preserve"> CONTIF </w:t>
      </w:r>
      <w:r>
        <w:rPr>
          <w:lang w:val="en-US"/>
        </w:rPr>
        <w:t xml:space="preserve">that have been applied in </w:t>
      </w:r>
      <w:proofErr w:type="spellStart"/>
      <w:r>
        <w:rPr>
          <w:lang w:val="en-US"/>
        </w:rPr>
        <w:t>ABANCs’s</w:t>
      </w:r>
      <w:proofErr w:type="spellEnd"/>
      <w:r>
        <w:rPr>
          <w:lang w:val="en-US"/>
        </w:rPr>
        <w:t xml:space="preserve"> reports.</w:t>
      </w:r>
    </w:p>
    <w:p w:rsidR="00064832" w:rsidRPr="0086792D" w:rsidRDefault="005E48CC" w:rsidP="00064832">
      <w:pPr>
        <w:pStyle w:val="Legenda"/>
        <w:rPr>
          <w:lang w:val="en-US"/>
        </w:rPr>
      </w:pPr>
      <w:bookmarkStart w:id="2" w:name="_Toc357408643"/>
      <w:bookmarkStart w:id="3" w:name="_Toc401576596"/>
      <w:r>
        <w:rPr>
          <w:lang w:val="en-US"/>
        </w:rPr>
        <w:t>Table</w:t>
      </w:r>
      <w:r w:rsidR="00064832" w:rsidRPr="0086792D">
        <w:rPr>
          <w:lang w:val="en-US"/>
        </w:rPr>
        <w:t xml:space="preserve"> </w:t>
      </w:r>
      <w:r w:rsidR="000B011C" w:rsidRPr="00956D40">
        <w:rPr>
          <w:lang w:val="en-US"/>
        </w:rPr>
        <w:t>1</w:t>
      </w:r>
      <w:r w:rsidR="00064832" w:rsidRPr="0086792D">
        <w:rPr>
          <w:lang w:val="en-US"/>
        </w:rPr>
        <w:t xml:space="preserve"> – Correspond</w:t>
      </w:r>
      <w:r w:rsidR="0086792D" w:rsidRPr="0086792D">
        <w:rPr>
          <w:lang w:val="en-US"/>
        </w:rPr>
        <w:t xml:space="preserve">ence between </w:t>
      </w:r>
      <w:r w:rsidR="00064832" w:rsidRPr="0086792D">
        <w:rPr>
          <w:lang w:val="en-US"/>
        </w:rPr>
        <w:t xml:space="preserve">PCIF </w:t>
      </w:r>
      <w:r w:rsidR="0086792D" w:rsidRPr="0086792D">
        <w:rPr>
          <w:lang w:val="en-US"/>
        </w:rPr>
        <w:t>and</w:t>
      </w:r>
      <w:r w:rsidR="00064832" w:rsidRPr="0086792D">
        <w:rPr>
          <w:lang w:val="en-US"/>
        </w:rPr>
        <w:t xml:space="preserve"> CONTIF</w:t>
      </w:r>
      <w:bookmarkEnd w:id="2"/>
      <w:bookmarkEnd w:id="3"/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3820"/>
      </w:tblGrid>
      <w:tr w:rsidR="00064832" w:rsidRPr="00D15924" w:rsidTr="004F7364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ED1C24"/>
            <w:vAlign w:val="bottom"/>
          </w:tcPr>
          <w:p w:rsidR="00064832" w:rsidRPr="00647DBD" w:rsidRDefault="000005C0" w:rsidP="004F73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ASSETS</w:t>
            </w:r>
          </w:p>
        </w:tc>
      </w:tr>
      <w:tr w:rsidR="00064832" w:rsidRPr="00D15924" w:rsidTr="004F7364">
        <w:tc>
          <w:tcPr>
            <w:tcW w:w="5211" w:type="dxa"/>
            <w:tcBorders>
              <w:bottom w:val="single" w:sz="4" w:space="0" w:color="BFBFBF" w:themeColor="background1" w:themeShade="BF"/>
            </w:tcBorders>
            <w:shd w:val="clear" w:color="auto" w:fill="DCDCDC"/>
            <w:vAlign w:val="bottom"/>
          </w:tcPr>
          <w:p w:rsidR="00064832" w:rsidRPr="00D15924" w:rsidRDefault="00064832" w:rsidP="004F7364">
            <w:pPr>
              <w:jc w:val="center"/>
              <w:rPr>
                <w:b/>
                <w:sz w:val="20"/>
              </w:rPr>
            </w:pPr>
            <w:r w:rsidRPr="00D15924">
              <w:rPr>
                <w:b/>
                <w:sz w:val="20"/>
              </w:rPr>
              <w:lastRenderedPageBreak/>
              <w:t>PCIF</w:t>
            </w:r>
          </w:p>
        </w:tc>
        <w:tc>
          <w:tcPr>
            <w:tcW w:w="4031" w:type="dxa"/>
            <w:tcBorders>
              <w:bottom w:val="single" w:sz="4" w:space="0" w:color="BFBFBF" w:themeColor="background1" w:themeShade="BF"/>
            </w:tcBorders>
            <w:shd w:val="clear" w:color="auto" w:fill="DCDCDC"/>
            <w:vAlign w:val="bottom"/>
          </w:tcPr>
          <w:p w:rsidR="00064832" w:rsidRPr="00D15924" w:rsidRDefault="00064832" w:rsidP="004F7364">
            <w:pPr>
              <w:jc w:val="center"/>
              <w:rPr>
                <w:b/>
                <w:sz w:val="20"/>
              </w:rPr>
            </w:pPr>
            <w:r w:rsidRPr="00D15924">
              <w:rPr>
                <w:b/>
                <w:sz w:val="20"/>
              </w:rPr>
              <w:t>CONTIF</w:t>
            </w:r>
          </w:p>
        </w:tc>
      </w:tr>
      <w:tr w:rsidR="00064832" w:rsidRPr="00D15924" w:rsidTr="004F7364">
        <w:tc>
          <w:tcPr>
            <w:tcW w:w="52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86792D" w:rsidRDefault="00064832" w:rsidP="0086792D">
            <w:pPr>
              <w:jc w:val="left"/>
              <w:rPr>
                <w:sz w:val="20"/>
                <w:lang w:val="en-US"/>
              </w:rPr>
            </w:pPr>
            <w:r w:rsidRPr="0086792D">
              <w:rPr>
                <w:sz w:val="20"/>
                <w:lang w:val="en-US"/>
              </w:rPr>
              <w:t>C</w:t>
            </w:r>
            <w:r w:rsidR="0086792D" w:rsidRPr="0086792D">
              <w:rPr>
                <w:sz w:val="20"/>
                <w:lang w:val="en-US"/>
              </w:rPr>
              <w:t>ash and Deposits with the Central Bank</w:t>
            </w:r>
          </w:p>
        </w:tc>
        <w:tc>
          <w:tcPr>
            <w:tcW w:w="4031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3D3CB6" w:rsidP="004F736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Cash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Cash </w:t>
            </w:r>
            <w:proofErr w:type="spellStart"/>
            <w:r>
              <w:rPr>
                <w:sz w:val="20"/>
              </w:rPr>
              <w:t>Equivalents</w:t>
            </w:r>
            <w:proofErr w:type="spellEnd"/>
          </w:p>
        </w:tc>
      </w:tr>
      <w:tr w:rsidR="00064832" w:rsidRPr="0048065E" w:rsidTr="004F7364">
        <w:tc>
          <w:tcPr>
            <w:tcW w:w="52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977E2D" w:rsidRDefault="00977E2D" w:rsidP="004F7364">
            <w:pPr>
              <w:jc w:val="left"/>
              <w:rPr>
                <w:sz w:val="20"/>
                <w:lang w:val="en-US"/>
              </w:rPr>
            </w:pPr>
            <w:r w:rsidRPr="00977E2D">
              <w:rPr>
                <w:sz w:val="20"/>
                <w:lang w:val="en-US"/>
              </w:rPr>
              <w:t>Deposits at other credit institutions</w:t>
            </w:r>
          </w:p>
        </w:tc>
        <w:tc>
          <w:tcPr>
            <w:tcW w:w="4031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977E2D" w:rsidRDefault="00064832" w:rsidP="004F7364">
            <w:pPr>
              <w:jc w:val="left"/>
              <w:rPr>
                <w:sz w:val="20"/>
                <w:lang w:val="en-US"/>
              </w:rPr>
            </w:pPr>
          </w:p>
        </w:tc>
      </w:tr>
      <w:tr w:rsidR="00064832" w:rsidRPr="00D15924" w:rsidTr="004F7364">
        <w:tc>
          <w:tcPr>
            <w:tcW w:w="52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977E2D" w:rsidRDefault="00977E2D" w:rsidP="00977E2D">
            <w:pPr>
              <w:jc w:val="left"/>
              <w:rPr>
                <w:sz w:val="20"/>
                <w:lang w:val="en-US"/>
              </w:rPr>
            </w:pPr>
            <w:r w:rsidRPr="00977E2D">
              <w:rPr>
                <w:sz w:val="20"/>
                <w:lang w:val="en-US"/>
              </w:rPr>
              <w:t xml:space="preserve">Other loans </w:t>
            </w:r>
            <w:r w:rsidR="004A0030">
              <w:rPr>
                <w:sz w:val="20"/>
                <w:lang w:val="en-US"/>
              </w:rPr>
              <w:t>and Advances to C</w:t>
            </w:r>
            <w:r w:rsidRPr="00977E2D">
              <w:rPr>
                <w:sz w:val="20"/>
                <w:lang w:val="en-US"/>
              </w:rPr>
              <w:t>redit institutions</w:t>
            </w:r>
          </w:p>
        </w:tc>
        <w:tc>
          <w:tcPr>
            <w:tcW w:w="4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4A0030" w:rsidP="004F7364">
            <w:pPr>
              <w:jc w:val="left"/>
              <w:rPr>
                <w:sz w:val="20"/>
              </w:rPr>
            </w:pPr>
            <w:r>
              <w:rPr>
                <w:sz w:val="20"/>
              </w:rPr>
              <w:t>Short-</w:t>
            </w:r>
            <w:proofErr w:type="spellStart"/>
            <w:r>
              <w:rPr>
                <w:sz w:val="20"/>
              </w:rPr>
              <w:t>Term</w:t>
            </w:r>
            <w:proofErr w:type="spellEnd"/>
            <w:r w:rsidR="000005C0">
              <w:rPr>
                <w:sz w:val="20"/>
              </w:rPr>
              <w:t xml:space="preserve"> </w:t>
            </w:r>
            <w:proofErr w:type="spellStart"/>
            <w:r w:rsidR="000005C0">
              <w:rPr>
                <w:sz w:val="20"/>
              </w:rPr>
              <w:t>Investments</w:t>
            </w:r>
            <w:proofErr w:type="spellEnd"/>
          </w:p>
        </w:tc>
      </w:tr>
      <w:tr w:rsidR="00064832" w:rsidRPr="00D15924" w:rsidTr="004F7364">
        <w:tc>
          <w:tcPr>
            <w:tcW w:w="52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0005C0" w:rsidP="004F7364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Bonds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Securities</w:t>
            </w:r>
            <w:proofErr w:type="spellEnd"/>
          </w:p>
        </w:tc>
        <w:tc>
          <w:tcPr>
            <w:tcW w:w="4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977E2D" w:rsidP="004F7364">
            <w:pPr>
              <w:jc w:val="left"/>
              <w:rPr>
                <w:sz w:val="20"/>
              </w:rPr>
            </w:pPr>
            <w:r>
              <w:rPr>
                <w:sz w:val="20"/>
              </w:rPr>
              <w:t>Securities</w:t>
            </w:r>
          </w:p>
        </w:tc>
      </w:tr>
      <w:tr w:rsidR="00064832" w:rsidRPr="00D15924" w:rsidTr="004F7364">
        <w:tc>
          <w:tcPr>
            <w:tcW w:w="52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4A0030" w:rsidRDefault="000005C0" w:rsidP="000005C0">
            <w:pPr>
              <w:tabs>
                <w:tab w:val="left" w:pos="3801"/>
              </w:tabs>
              <w:jc w:val="left"/>
              <w:rPr>
                <w:sz w:val="20"/>
                <w:lang w:val="en-US"/>
              </w:rPr>
            </w:pPr>
            <w:r w:rsidRPr="004A0030">
              <w:rPr>
                <w:sz w:val="20"/>
                <w:lang w:val="en-US"/>
              </w:rPr>
              <w:t>Fixed Assets and</w:t>
            </w:r>
            <w:r w:rsidR="004A0030" w:rsidRPr="004A0030">
              <w:rPr>
                <w:sz w:val="20"/>
                <w:lang w:val="en-US"/>
              </w:rPr>
              <w:t xml:space="preserve"> Equity</w:t>
            </w:r>
            <w:r w:rsidRPr="004A0030">
              <w:rPr>
                <w:sz w:val="20"/>
                <w:lang w:val="en-US"/>
              </w:rPr>
              <w:t xml:space="preserve"> Holdings</w:t>
            </w:r>
          </w:p>
        </w:tc>
        <w:tc>
          <w:tcPr>
            <w:tcW w:w="4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0005C0" w:rsidP="004F7364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Fixed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Assets</w:t>
            </w:r>
            <w:proofErr w:type="spellEnd"/>
          </w:p>
        </w:tc>
      </w:tr>
      <w:tr w:rsidR="00064832" w:rsidRPr="00D15924" w:rsidTr="004F7364">
        <w:tc>
          <w:tcPr>
            <w:tcW w:w="521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064832" w:rsidRPr="00D15924" w:rsidRDefault="000005C0" w:rsidP="004F7364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Other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Assets</w:t>
            </w:r>
            <w:proofErr w:type="spellEnd"/>
          </w:p>
        </w:tc>
        <w:tc>
          <w:tcPr>
            <w:tcW w:w="4031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064832" w:rsidRPr="00D15924" w:rsidRDefault="000005C0" w:rsidP="00794197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Other</w:t>
            </w:r>
            <w:proofErr w:type="spellEnd"/>
            <w:r w:rsidR="00064832" w:rsidRPr="00D15924">
              <w:rPr>
                <w:sz w:val="20"/>
              </w:rPr>
              <w:t xml:space="preserve"> </w:t>
            </w:r>
            <w:proofErr w:type="spellStart"/>
            <w:r w:rsidR="00794197">
              <w:rPr>
                <w:sz w:val="20"/>
              </w:rPr>
              <w:t>Amounts</w:t>
            </w:r>
            <w:proofErr w:type="spellEnd"/>
          </w:p>
        </w:tc>
      </w:tr>
      <w:tr w:rsidR="00064832" w:rsidRPr="00D15924" w:rsidTr="004F7364">
        <w:tc>
          <w:tcPr>
            <w:tcW w:w="5211" w:type="dxa"/>
            <w:tcBorders>
              <w:top w:val="nil"/>
            </w:tcBorders>
            <w:vAlign w:val="center"/>
          </w:tcPr>
          <w:p w:rsidR="00064832" w:rsidRPr="00D15924" w:rsidRDefault="000005C0" w:rsidP="004F7364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Accruals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Deferrals</w:t>
            </w:r>
            <w:proofErr w:type="spellEnd"/>
          </w:p>
        </w:tc>
        <w:tc>
          <w:tcPr>
            <w:tcW w:w="4031" w:type="dxa"/>
            <w:vMerge/>
            <w:vAlign w:val="bottom"/>
          </w:tcPr>
          <w:p w:rsidR="00064832" w:rsidRPr="00D15924" w:rsidRDefault="00064832" w:rsidP="004F7364">
            <w:pPr>
              <w:jc w:val="center"/>
              <w:rPr>
                <w:sz w:val="20"/>
              </w:rPr>
            </w:pPr>
          </w:p>
        </w:tc>
      </w:tr>
    </w:tbl>
    <w:p w:rsidR="00064832" w:rsidRPr="00E9169D" w:rsidRDefault="00064832" w:rsidP="00064832">
      <w:pPr>
        <w:rPr>
          <w:sz w:val="6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3804"/>
      </w:tblGrid>
      <w:tr w:rsidR="00064832" w:rsidRPr="00D15924" w:rsidTr="004F7364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ED1C24"/>
            <w:vAlign w:val="center"/>
          </w:tcPr>
          <w:p w:rsidR="00064832" w:rsidRPr="00D15924" w:rsidRDefault="000005C0" w:rsidP="004F73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LIABILITIES</w:t>
            </w:r>
          </w:p>
        </w:tc>
      </w:tr>
      <w:tr w:rsidR="00064832" w:rsidRPr="00D15924" w:rsidTr="004F7364">
        <w:tc>
          <w:tcPr>
            <w:tcW w:w="5211" w:type="dxa"/>
            <w:tcBorders>
              <w:bottom w:val="single" w:sz="4" w:space="0" w:color="BFBFBF" w:themeColor="background1" w:themeShade="BF"/>
            </w:tcBorders>
            <w:shd w:val="clear" w:color="auto" w:fill="DCDCDC"/>
            <w:vAlign w:val="center"/>
          </w:tcPr>
          <w:p w:rsidR="00064832" w:rsidRPr="00D15924" w:rsidRDefault="00064832" w:rsidP="004F7364">
            <w:pPr>
              <w:jc w:val="center"/>
              <w:rPr>
                <w:b/>
                <w:sz w:val="20"/>
              </w:rPr>
            </w:pPr>
            <w:r w:rsidRPr="00D15924">
              <w:rPr>
                <w:b/>
                <w:sz w:val="20"/>
              </w:rPr>
              <w:t>PCIF</w:t>
            </w:r>
          </w:p>
        </w:tc>
        <w:tc>
          <w:tcPr>
            <w:tcW w:w="4031" w:type="dxa"/>
            <w:tcBorders>
              <w:bottom w:val="single" w:sz="4" w:space="0" w:color="BFBFBF" w:themeColor="background1" w:themeShade="BF"/>
            </w:tcBorders>
            <w:shd w:val="clear" w:color="auto" w:fill="DCDCDC"/>
            <w:vAlign w:val="center"/>
          </w:tcPr>
          <w:p w:rsidR="00064832" w:rsidRPr="00D15924" w:rsidRDefault="00064832" w:rsidP="004F7364">
            <w:pPr>
              <w:jc w:val="center"/>
              <w:rPr>
                <w:b/>
                <w:sz w:val="20"/>
              </w:rPr>
            </w:pPr>
            <w:r w:rsidRPr="00D15924">
              <w:rPr>
                <w:b/>
                <w:sz w:val="20"/>
              </w:rPr>
              <w:t>CONTIF</w:t>
            </w:r>
          </w:p>
        </w:tc>
      </w:tr>
      <w:tr w:rsidR="00064832" w:rsidRPr="00D15924" w:rsidTr="004F7364">
        <w:tc>
          <w:tcPr>
            <w:tcW w:w="52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81192D" w:rsidRDefault="004A0030" w:rsidP="004A003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Funds from </w:t>
            </w:r>
            <w:r w:rsidR="0081192D" w:rsidRPr="0081192D">
              <w:rPr>
                <w:sz w:val="20"/>
                <w:lang w:val="en-US"/>
              </w:rPr>
              <w:t>other credit institutions</w:t>
            </w:r>
          </w:p>
        </w:tc>
        <w:tc>
          <w:tcPr>
            <w:tcW w:w="4031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2B0396" w:rsidP="002B03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Liquidity</w:t>
            </w:r>
            <w:proofErr w:type="spellEnd"/>
            <w:r>
              <w:rPr>
                <w:sz w:val="20"/>
              </w:rPr>
              <w:t xml:space="preserve"> Funding</w:t>
            </w:r>
          </w:p>
        </w:tc>
      </w:tr>
      <w:tr w:rsidR="00064832" w:rsidRPr="0048065E" w:rsidTr="004F7364">
        <w:tc>
          <w:tcPr>
            <w:tcW w:w="52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81192D" w:rsidRDefault="004A0030" w:rsidP="004F73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Funds</w:t>
            </w:r>
            <w:r w:rsidR="0081192D" w:rsidRPr="0081192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from </w:t>
            </w:r>
            <w:r w:rsidR="0081192D" w:rsidRPr="0081192D">
              <w:rPr>
                <w:sz w:val="20"/>
                <w:lang w:val="en-US"/>
              </w:rPr>
              <w:t>the Central Bank and other entit</w:t>
            </w:r>
            <w:r w:rsidR="0081192D">
              <w:rPr>
                <w:sz w:val="20"/>
                <w:lang w:val="en-US"/>
              </w:rPr>
              <w:t>ies</w:t>
            </w:r>
          </w:p>
        </w:tc>
        <w:tc>
          <w:tcPr>
            <w:tcW w:w="4031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81192D" w:rsidRDefault="00064832" w:rsidP="004F7364">
            <w:pPr>
              <w:rPr>
                <w:sz w:val="20"/>
                <w:lang w:val="en-US"/>
              </w:rPr>
            </w:pPr>
          </w:p>
        </w:tc>
      </w:tr>
      <w:tr w:rsidR="00064832" w:rsidRPr="00D15924" w:rsidTr="004F7364">
        <w:tc>
          <w:tcPr>
            <w:tcW w:w="52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064832" w:rsidP="002B0396">
            <w:pPr>
              <w:rPr>
                <w:sz w:val="20"/>
              </w:rPr>
            </w:pPr>
            <w:proofErr w:type="spellStart"/>
            <w:r w:rsidRPr="00D15924">
              <w:rPr>
                <w:sz w:val="20"/>
              </w:rPr>
              <w:t>Dep</w:t>
            </w:r>
            <w:r w:rsidR="002B0396">
              <w:rPr>
                <w:sz w:val="20"/>
              </w:rPr>
              <w:t>o</w:t>
            </w:r>
            <w:r w:rsidRPr="00D15924">
              <w:rPr>
                <w:sz w:val="20"/>
              </w:rPr>
              <w:t>sits</w:t>
            </w:r>
            <w:proofErr w:type="spellEnd"/>
          </w:p>
        </w:tc>
        <w:tc>
          <w:tcPr>
            <w:tcW w:w="4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064832" w:rsidP="002B0396">
            <w:pPr>
              <w:rPr>
                <w:sz w:val="20"/>
              </w:rPr>
            </w:pPr>
            <w:proofErr w:type="spellStart"/>
            <w:r w:rsidRPr="00D15924">
              <w:rPr>
                <w:sz w:val="20"/>
              </w:rPr>
              <w:t>Dep</w:t>
            </w:r>
            <w:r w:rsidR="002B0396">
              <w:rPr>
                <w:sz w:val="20"/>
              </w:rPr>
              <w:t>o</w:t>
            </w:r>
            <w:r w:rsidRPr="00D15924">
              <w:rPr>
                <w:sz w:val="20"/>
              </w:rPr>
              <w:t>sits</w:t>
            </w:r>
            <w:proofErr w:type="spellEnd"/>
          </w:p>
        </w:tc>
      </w:tr>
      <w:tr w:rsidR="00064832" w:rsidRPr="00D15924" w:rsidTr="004F7364">
        <w:tc>
          <w:tcPr>
            <w:tcW w:w="52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535A53" w:rsidP="00535A5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Debts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Securities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Issued</w:t>
            </w:r>
            <w:proofErr w:type="spellEnd"/>
          </w:p>
        </w:tc>
        <w:tc>
          <w:tcPr>
            <w:tcW w:w="4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2B0396" w:rsidP="002B0396">
            <w:pPr>
              <w:rPr>
                <w:sz w:val="20"/>
              </w:rPr>
            </w:pPr>
            <w:r>
              <w:rPr>
                <w:sz w:val="20"/>
              </w:rPr>
              <w:t xml:space="preserve">Funding </w:t>
            </w:r>
            <w:proofErr w:type="spellStart"/>
            <w:r>
              <w:rPr>
                <w:sz w:val="20"/>
              </w:rPr>
              <w:t>through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Securities</w:t>
            </w:r>
            <w:proofErr w:type="spellEnd"/>
          </w:p>
        </w:tc>
      </w:tr>
      <w:tr w:rsidR="00064832" w:rsidRPr="00D15924" w:rsidTr="004F7364">
        <w:tc>
          <w:tcPr>
            <w:tcW w:w="52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81192D" w:rsidP="004A003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Other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4A0030">
              <w:rPr>
                <w:sz w:val="20"/>
              </w:rPr>
              <w:t>Funds</w:t>
            </w:r>
            <w:proofErr w:type="spellEnd"/>
          </w:p>
        </w:tc>
        <w:tc>
          <w:tcPr>
            <w:tcW w:w="4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064832" w:rsidP="004F7364">
            <w:pPr>
              <w:rPr>
                <w:sz w:val="20"/>
              </w:rPr>
            </w:pPr>
            <w:proofErr w:type="spellStart"/>
            <w:r w:rsidRPr="00D15924">
              <w:rPr>
                <w:sz w:val="20"/>
              </w:rPr>
              <w:t>O</w:t>
            </w:r>
            <w:r w:rsidR="002B0396">
              <w:rPr>
                <w:sz w:val="20"/>
              </w:rPr>
              <w:t>ther</w:t>
            </w:r>
            <w:proofErr w:type="spellEnd"/>
            <w:r w:rsidR="002B0396">
              <w:rPr>
                <w:sz w:val="20"/>
              </w:rPr>
              <w:t xml:space="preserve"> Funding </w:t>
            </w:r>
            <w:proofErr w:type="spellStart"/>
            <w:r w:rsidR="002B0396">
              <w:rPr>
                <w:sz w:val="20"/>
              </w:rPr>
              <w:t>Received</w:t>
            </w:r>
            <w:proofErr w:type="spellEnd"/>
          </w:p>
        </w:tc>
      </w:tr>
      <w:tr w:rsidR="00064832" w:rsidRPr="00D15924" w:rsidTr="004F7364">
        <w:tc>
          <w:tcPr>
            <w:tcW w:w="52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2B0396" w:rsidP="004F73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Other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Liabilities</w:t>
            </w:r>
            <w:proofErr w:type="spellEnd"/>
          </w:p>
        </w:tc>
        <w:tc>
          <w:tcPr>
            <w:tcW w:w="4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2B0396" w:rsidP="004F73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Other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Liabilities</w:t>
            </w:r>
            <w:proofErr w:type="spellEnd"/>
          </w:p>
        </w:tc>
      </w:tr>
      <w:tr w:rsidR="00064832" w:rsidRPr="00D15924" w:rsidTr="004F7364">
        <w:tc>
          <w:tcPr>
            <w:tcW w:w="5211" w:type="dxa"/>
            <w:tcBorders>
              <w:top w:val="single" w:sz="4" w:space="0" w:color="BFBFBF" w:themeColor="background1" w:themeShade="BF"/>
            </w:tcBorders>
            <w:vAlign w:val="center"/>
          </w:tcPr>
          <w:p w:rsidR="00064832" w:rsidRPr="002B0396" w:rsidRDefault="00064832" w:rsidP="004F7364">
            <w:pPr>
              <w:rPr>
                <w:sz w:val="20"/>
                <w:lang w:val="en-US"/>
              </w:rPr>
            </w:pPr>
            <w:r w:rsidRPr="002B0396">
              <w:rPr>
                <w:sz w:val="20"/>
                <w:lang w:val="en-US"/>
              </w:rPr>
              <w:t>Provis</w:t>
            </w:r>
            <w:r w:rsidR="002B0396" w:rsidRPr="002B0396">
              <w:rPr>
                <w:sz w:val="20"/>
                <w:lang w:val="en-US"/>
              </w:rPr>
              <w:t>ions for contingencies and liab</w:t>
            </w:r>
            <w:r w:rsidR="002B0396">
              <w:rPr>
                <w:sz w:val="20"/>
                <w:lang w:val="en-US"/>
              </w:rPr>
              <w:t>ilities</w:t>
            </w:r>
          </w:p>
        </w:tc>
        <w:tc>
          <w:tcPr>
            <w:tcW w:w="4031" w:type="dxa"/>
            <w:tcBorders>
              <w:top w:val="single" w:sz="4" w:space="0" w:color="BFBFBF" w:themeColor="background1" w:themeShade="BF"/>
            </w:tcBorders>
            <w:vAlign w:val="center"/>
          </w:tcPr>
          <w:p w:rsidR="00064832" w:rsidRPr="00D15924" w:rsidRDefault="00064832" w:rsidP="002B0396">
            <w:pPr>
              <w:rPr>
                <w:sz w:val="20"/>
              </w:rPr>
            </w:pPr>
            <w:proofErr w:type="spellStart"/>
            <w:r w:rsidRPr="00D15924">
              <w:rPr>
                <w:sz w:val="20"/>
              </w:rPr>
              <w:t>Provi</w:t>
            </w:r>
            <w:r w:rsidR="002B0396">
              <w:rPr>
                <w:sz w:val="20"/>
              </w:rPr>
              <w:t>sions</w:t>
            </w:r>
            <w:proofErr w:type="spellEnd"/>
            <w:r w:rsidR="002B0396">
              <w:rPr>
                <w:sz w:val="20"/>
              </w:rPr>
              <w:t xml:space="preserve"> for </w:t>
            </w:r>
            <w:proofErr w:type="spellStart"/>
            <w:r w:rsidR="002B0396">
              <w:rPr>
                <w:sz w:val="20"/>
              </w:rPr>
              <w:t>Probable</w:t>
            </w:r>
            <w:proofErr w:type="spellEnd"/>
            <w:r w:rsidR="002B0396">
              <w:rPr>
                <w:sz w:val="20"/>
              </w:rPr>
              <w:t xml:space="preserve"> </w:t>
            </w:r>
            <w:proofErr w:type="spellStart"/>
            <w:r w:rsidR="002B0396">
              <w:rPr>
                <w:sz w:val="20"/>
              </w:rPr>
              <w:t>Liabilities</w:t>
            </w:r>
            <w:proofErr w:type="spellEnd"/>
          </w:p>
        </w:tc>
      </w:tr>
    </w:tbl>
    <w:p w:rsidR="00064832" w:rsidRPr="00E9169D" w:rsidRDefault="00064832" w:rsidP="00064832">
      <w:pPr>
        <w:rPr>
          <w:sz w:val="6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3822"/>
      </w:tblGrid>
      <w:tr w:rsidR="00064832" w:rsidRPr="00D15924" w:rsidTr="004A0030"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ED1C24"/>
            <w:vAlign w:val="center"/>
          </w:tcPr>
          <w:p w:rsidR="00064832" w:rsidRPr="00D15924" w:rsidRDefault="0081192D" w:rsidP="008119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 STATEMENT</w:t>
            </w:r>
          </w:p>
        </w:tc>
      </w:tr>
      <w:tr w:rsidR="00064832" w:rsidRPr="00D15924" w:rsidTr="004A0030">
        <w:tc>
          <w:tcPr>
            <w:tcW w:w="4898" w:type="dxa"/>
            <w:tcBorders>
              <w:bottom w:val="single" w:sz="4" w:space="0" w:color="BFBFBF" w:themeColor="background1" w:themeShade="BF"/>
            </w:tcBorders>
            <w:shd w:val="clear" w:color="auto" w:fill="DCDCDC"/>
            <w:vAlign w:val="center"/>
          </w:tcPr>
          <w:p w:rsidR="00064832" w:rsidRPr="00D15924" w:rsidRDefault="00064832" w:rsidP="004F7364">
            <w:pPr>
              <w:jc w:val="center"/>
              <w:rPr>
                <w:b/>
                <w:sz w:val="20"/>
                <w:szCs w:val="20"/>
              </w:rPr>
            </w:pPr>
            <w:r w:rsidRPr="00D15924">
              <w:rPr>
                <w:b/>
                <w:sz w:val="20"/>
                <w:szCs w:val="20"/>
              </w:rPr>
              <w:t>PCIF</w:t>
            </w:r>
          </w:p>
        </w:tc>
        <w:tc>
          <w:tcPr>
            <w:tcW w:w="3822" w:type="dxa"/>
            <w:tcBorders>
              <w:bottom w:val="single" w:sz="4" w:space="0" w:color="BFBFBF" w:themeColor="background1" w:themeShade="BF"/>
            </w:tcBorders>
            <w:shd w:val="clear" w:color="auto" w:fill="DCDCDC"/>
            <w:vAlign w:val="center"/>
          </w:tcPr>
          <w:p w:rsidR="00064832" w:rsidRPr="00D15924" w:rsidRDefault="00064832" w:rsidP="004F7364">
            <w:pPr>
              <w:jc w:val="center"/>
              <w:rPr>
                <w:b/>
                <w:sz w:val="20"/>
                <w:szCs w:val="20"/>
              </w:rPr>
            </w:pPr>
            <w:r w:rsidRPr="00D15924">
              <w:rPr>
                <w:b/>
                <w:sz w:val="20"/>
                <w:szCs w:val="20"/>
              </w:rPr>
              <w:t>CONTIF</w:t>
            </w:r>
          </w:p>
        </w:tc>
      </w:tr>
      <w:tr w:rsidR="00064832" w:rsidRPr="00D15924" w:rsidTr="004A0030">
        <w:tc>
          <w:tcPr>
            <w:tcW w:w="4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81192D" w:rsidP="004F73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Net </w:t>
            </w:r>
            <w:proofErr w:type="spellStart"/>
            <w:r>
              <w:rPr>
                <w:b/>
                <w:sz w:val="20"/>
                <w:szCs w:val="20"/>
              </w:rPr>
              <w:t>Interest</w:t>
            </w:r>
            <w:proofErr w:type="spellEnd"/>
            <w:r>
              <w:rPr>
                <w:b/>
                <w:sz w:val="20"/>
                <w:szCs w:val="20"/>
              </w:rPr>
              <w:t xml:space="preserve"> Income</w:t>
            </w:r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81192D" w:rsidP="004F73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Net </w:t>
            </w:r>
            <w:proofErr w:type="spellStart"/>
            <w:r>
              <w:rPr>
                <w:b/>
                <w:sz w:val="20"/>
                <w:szCs w:val="20"/>
              </w:rPr>
              <w:t>Interest</w:t>
            </w:r>
            <w:proofErr w:type="spellEnd"/>
            <w:r>
              <w:rPr>
                <w:b/>
                <w:sz w:val="20"/>
                <w:szCs w:val="20"/>
              </w:rPr>
              <w:t xml:space="preserve"> Income</w:t>
            </w:r>
          </w:p>
        </w:tc>
      </w:tr>
      <w:tr w:rsidR="00064832" w:rsidRPr="0048065E" w:rsidTr="004A0030">
        <w:tc>
          <w:tcPr>
            <w:tcW w:w="4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81192D" w:rsidP="008119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Similar Income</w:t>
            </w:r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81192D" w:rsidRDefault="0081192D" w:rsidP="0081192D">
            <w:pPr>
              <w:rPr>
                <w:sz w:val="20"/>
                <w:szCs w:val="20"/>
                <w:lang w:val="en-US"/>
              </w:rPr>
            </w:pPr>
            <w:r w:rsidRPr="0081192D">
              <w:rPr>
                <w:sz w:val="20"/>
                <w:szCs w:val="20"/>
                <w:lang w:val="en-US"/>
              </w:rPr>
              <w:t>Income from Financial Instrument</w:t>
            </w:r>
            <w:r w:rsidR="00794197">
              <w:rPr>
                <w:sz w:val="20"/>
                <w:szCs w:val="20"/>
                <w:lang w:val="en-US"/>
              </w:rPr>
              <w:t xml:space="preserve"> Assets</w:t>
            </w:r>
          </w:p>
        </w:tc>
      </w:tr>
      <w:tr w:rsidR="00064832" w:rsidRPr="0048065E" w:rsidTr="004A0030">
        <w:tc>
          <w:tcPr>
            <w:tcW w:w="4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81192D" w:rsidP="004F73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Similar </w:t>
            </w:r>
            <w:proofErr w:type="spellStart"/>
            <w:r>
              <w:rPr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81192D" w:rsidRDefault="00794197" w:rsidP="004F73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Costs of Financial Instrument </w:t>
            </w:r>
            <w:r w:rsidR="0081192D" w:rsidRPr="0081192D">
              <w:rPr>
                <w:sz w:val="20"/>
                <w:szCs w:val="20"/>
                <w:lang w:val="en-US"/>
              </w:rPr>
              <w:t>Liabilities</w:t>
            </w:r>
          </w:p>
        </w:tc>
      </w:tr>
      <w:tr w:rsidR="00064832" w:rsidRPr="00D15924" w:rsidTr="004A0030">
        <w:tc>
          <w:tcPr>
            <w:tcW w:w="4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064832" w:rsidP="004F7364">
            <w:pPr>
              <w:rPr>
                <w:b/>
                <w:sz w:val="20"/>
                <w:szCs w:val="20"/>
              </w:rPr>
            </w:pPr>
            <w:proofErr w:type="spellStart"/>
            <w:r w:rsidRPr="00D15924">
              <w:rPr>
                <w:b/>
                <w:sz w:val="20"/>
                <w:szCs w:val="20"/>
              </w:rPr>
              <w:t>Complementar</w:t>
            </w:r>
            <w:r w:rsidR="00535A53">
              <w:rPr>
                <w:b/>
                <w:sz w:val="20"/>
                <w:szCs w:val="20"/>
              </w:rPr>
              <w:t>y</w:t>
            </w:r>
            <w:proofErr w:type="spellEnd"/>
            <w:r w:rsidR="00535A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35A53">
              <w:rPr>
                <w:b/>
                <w:sz w:val="20"/>
                <w:szCs w:val="20"/>
              </w:rPr>
              <w:t>Margin</w:t>
            </w:r>
            <w:proofErr w:type="spellEnd"/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064832" w:rsidP="004F7364">
            <w:pPr>
              <w:rPr>
                <w:b/>
                <w:sz w:val="20"/>
                <w:szCs w:val="20"/>
              </w:rPr>
            </w:pPr>
            <w:proofErr w:type="spellStart"/>
            <w:r w:rsidRPr="00D15924">
              <w:rPr>
                <w:b/>
                <w:sz w:val="20"/>
                <w:szCs w:val="20"/>
              </w:rPr>
              <w:t>Complementar</w:t>
            </w:r>
            <w:r w:rsidR="00535A53">
              <w:rPr>
                <w:b/>
                <w:sz w:val="20"/>
                <w:szCs w:val="20"/>
              </w:rPr>
              <w:t>y</w:t>
            </w:r>
            <w:proofErr w:type="spellEnd"/>
            <w:r w:rsidR="00535A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35A53">
              <w:rPr>
                <w:b/>
                <w:sz w:val="20"/>
                <w:szCs w:val="20"/>
              </w:rPr>
              <w:t>Margin</w:t>
            </w:r>
            <w:proofErr w:type="spellEnd"/>
          </w:p>
        </w:tc>
      </w:tr>
      <w:tr w:rsidR="00064832" w:rsidRPr="0048065E" w:rsidTr="004A0030">
        <w:tc>
          <w:tcPr>
            <w:tcW w:w="4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E4569A" w:rsidRDefault="004A0030" w:rsidP="004A0030">
            <w:pPr>
              <w:rPr>
                <w:sz w:val="20"/>
                <w:szCs w:val="20"/>
                <w:lang w:val="en-US"/>
              </w:rPr>
            </w:pPr>
            <w:r w:rsidRPr="00956D40">
              <w:rPr>
                <w:sz w:val="20"/>
                <w:szCs w:val="20"/>
                <w:lang w:val="en-US"/>
              </w:rPr>
              <w:t>Income on Operations with Securities</w:t>
            </w:r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EB3818" w:rsidRDefault="00EB3818" w:rsidP="004F7364">
            <w:pPr>
              <w:rPr>
                <w:sz w:val="20"/>
                <w:szCs w:val="20"/>
                <w:lang w:val="en-US"/>
              </w:rPr>
            </w:pPr>
            <w:r w:rsidRPr="00EB3818">
              <w:rPr>
                <w:sz w:val="20"/>
                <w:szCs w:val="20"/>
                <w:lang w:val="en-US"/>
              </w:rPr>
              <w:t>Net Income from Tradin</w:t>
            </w:r>
            <w:r>
              <w:rPr>
                <w:sz w:val="20"/>
                <w:szCs w:val="20"/>
                <w:lang w:val="en-US"/>
              </w:rPr>
              <w:t>g</w:t>
            </w:r>
            <w:r w:rsidRPr="00EB3818">
              <w:rPr>
                <w:sz w:val="20"/>
                <w:szCs w:val="20"/>
                <w:lang w:val="en-US"/>
              </w:rPr>
              <w:t xml:space="preserve"> and Fair Value Adjustments</w:t>
            </w:r>
          </w:p>
        </w:tc>
      </w:tr>
      <w:tr w:rsidR="00064832" w:rsidRPr="0048065E" w:rsidTr="004A0030">
        <w:tc>
          <w:tcPr>
            <w:tcW w:w="4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E4569A" w:rsidP="004F73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</w:t>
            </w:r>
            <w:bookmarkStart w:id="4" w:name="_GoBack"/>
            <w:bookmarkEnd w:id="4"/>
            <w:r>
              <w:rPr>
                <w:sz w:val="20"/>
                <w:szCs w:val="20"/>
              </w:rPr>
              <w:t>issions</w:t>
            </w:r>
            <w:proofErr w:type="spellEnd"/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EB3818" w:rsidRDefault="00EB3818" w:rsidP="00EB3818">
            <w:pPr>
              <w:rPr>
                <w:sz w:val="20"/>
                <w:szCs w:val="20"/>
                <w:lang w:val="en-US"/>
              </w:rPr>
            </w:pPr>
            <w:r w:rsidRPr="00EB3818">
              <w:rPr>
                <w:sz w:val="20"/>
                <w:szCs w:val="20"/>
                <w:lang w:val="en-US"/>
              </w:rPr>
              <w:t>Net Income from Financial Services</w:t>
            </w:r>
          </w:p>
        </w:tc>
      </w:tr>
      <w:tr w:rsidR="00064832" w:rsidRPr="0048065E" w:rsidTr="004A0030">
        <w:tc>
          <w:tcPr>
            <w:tcW w:w="4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E4569A" w:rsidP="004F7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Income </w:t>
            </w:r>
            <w:proofErr w:type="spellStart"/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 Financial </w:t>
            </w:r>
            <w:proofErr w:type="spellStart"/>
            <w:r>
              <w:rPr>
                <w:sz w:val="20"/>
                <w:szCs w:val="20"/>
              </w:rPr>
              <w:t>Transactions</w:t>
            </w:r>
            <w:proofErr w:type="spellEnd"/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EB3818" w:rsidRDefault="00EB3818" w:rsidP="004F7364">
            <w:pPr>
              <w:rPr>
                <w:sz w:val="20"/>
                <w:szCs w:val="20"/>
                <w:lang w:val="en-US"/>
              </w:rPr>
            </w:pPr>
            <w:r w:rsidRPr="00EB3818">
              <w:rPr>
                <w:sz w:val="20"/>
                <w:szCs w:val="20"/>
                <w:lang w:val="en-US"/>
              </w:rPr>
              <w:t>Net Income from</w:t>
            </w:r>
            <w:r w:rsidR="0048065E">
              <w:rPr>
                <w:sz w:val="20"/>
                <w:szCs w:val="20"/>
                <w:lang w:val="en-US"/>
              </w:rPr>
              <w:t xml:space="preserve"> Foreign E</w:t>
            </w:r>
            <w:r w:rsidRPr="00EB3818">
              <w:rPr>
                <w:sz w:val="20"/>
                <w:szCs w:val="20"/>
                <w:lang w:val="en-US"/>
              </w:rPr>
              <w:t>xch</w:t>
            </w:r>
            <w:r>
              <w:rPr>
                <w:sz w:val="20"/>
                <w:szCs w:val="20"/>
                <w:lang w:val="en-US"/>
              </w:rPr>
              <w:t>a</w:t>
            </w:r>
            <w:r w:rsidRPr="00EB3818">
              <w:rPr>
                <w:sz w:val="20"/>
                <w:szCs w:val="20"/>
                <w:lang w:val="en-US"/>
              </w:rPr>
              <w:t>nge Transac</w:t>
            </w:r>
            <w:r>
              <w:rPr>
                <w:sz w:val="20"/>
                <w:szCs w:val="20"/>
                <w:lang w:val="en-US"/>
              </w:rPr>
              <w:t>tions</w:t>
            </w:r>
          </w:p>
        </w:tc>
      </w:tr>
      <w:tr w:rsidR="00064832" w:rsidRPr="0048065E" w:rsidTr="004A0030">
        <w:tc>
          <w:tcPr>
            <w:tcW w:w="4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4A0030" w:rsidP="00535A5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Banking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Revenue</w:t>
            </w:r>
            <w:proofErr w:type="spellEnd"/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535A53" w:rsidRDefault="00CE106D" w:rsidP="004F736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Results</w:t>
            </w:r>
            <w:r w:rsidR="00535A53" w:rsidRPr="00535A53">
              <w:rPr>
                <w:b/>
                <w:sz w:val="20"/>
                <w:szCs w:val="20"/>
                <w:lang w:val="en-US"/>
              </w:rPr>
              <w:t xml:space="preserve"> from Financial B</w:t>
            </w:r>
            <w:r w:rsidR="00535A53">
              <w:rPr>
                <w:b/>
                <w:sz w:val="20"/>
                <w:szCs w:val="20"/>
                <w:lang w:val="en-US"/>
              </w:rPr>
              <w:t>rokerage</w:t>
            </w:r>
          </w:p>
        </w:tc>
      </w:tr>
      <w:tr w:rsidR="00064832" w:rsidRPr="00D15924" w:rsidTr="004A0030">
        <w:tc>
          <w:tcPr>
            <w:tcW w:w="4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535A53" w:rsidP="00794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General </w:t>
            </w:r>
            <w:proofErr w:type="spellStart"/>
            <w:r>
              <w:rPr>
                <w:b/>
                <w:sz w:val="20"/>
                <w:szCs w:val="20"/>
              </w:rPr>
              <w:t>Administrative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94197">
              <w:rPr>
                <w:b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535A53" w:rsidP="0079419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Administrative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Marketing </w:t>
            </w:r>
            <w:proofErr w:type="spellStart"/>
            <w:r w:rsidR="00794197">
              <w:rPr>
                <w:b/>
                <w:sz w:val="20"/>
                <w:szCs w:val="20"/>
              </w:rPr>
              <w:t>Expenses</w:t>
            </w:r>
            <w:proofErr w:type="spellEnd"/>
          </w:p>
        </w:tc>
      </w:tr>
      <w:tr w:rsidR="00064832" w:rsidRPr="00D15924" w:rsidTr="004A0030">
        <w:tc>
          <w:tcPr>
            <w:tcW w:w="4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535A53" w:rsidP="00535A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Staff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AC351A">
              <w:rPr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535A53" w:rsidP="00535A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Staff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AC351A">
              <w:rPr>
                <w:sz w:val="20"/>
                <w:szCs w:val="20"/>
              </w:rPr>
              <w:t>Expenses</w:t>
            </w:r>
            <w:proofErr w:type="spellEnd"/>
          </w:p>
        </w:tc>
      </w:tr>
      <w:tr w:rsidR="005B090E" w:rsidRPr="005B090E" w:rsidTr="00CE36D2">
        <w:tc>
          <w:tcPr>
            <w:tcW w:w="4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B090E" w:rsidRPr="00D15924" w:rsidRDefault="005B090E" w:rsidP="00AC35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Administrative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AC351A">
              <w:rPr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B090E" w:rsidRPr="005B090E" w:rsidRDefault="005B090E" w:rsidP="00CE36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Provision for Probable Liabilities</w:t>
            </w:r>
          </w:p>
        </w:tc>
      </w:tr>
      <w:tr w:rsidR="00064832" w:rsidRPr="005B090E" w:rsidTr="004A0030">
        <w:tc>
          <w:tcPr>
            <w:tcW w:w="4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E4569A" w:rsidRDefault="00E4569A" w:rsidP="004F73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Third-Party Supplies and Services</w:t>
            </w:r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5B090E" w:rsidRDefault="00E4569A" w:rsidP="004F7364">
            <w:pPr>
              <w:rPr>
                <w:sz w:val="20"/>
                <w:szCs w:val="20"/>
                <w:lang w:val="en-US"/>
              </w:rPr>
            </w:pPr>
            <w:r w:rsidRPr="005B090E">
              <w:rPr>
                <w:sz w:val="20"/>
                <w:szCs w:val="20"/>
                <w:lang w:val="en-US"/>
              </w:rPr>
              <w:t>External Supplies</w:t>
            </w:r>
          </w:p>
        </w:tc>
      </w:tr>
      <w:tr w:rsidR="00064832" w:rsidRPr="00D15924" w:rsidTr="004A0030">
        <w:tc>
          <w:tcPr>
            <w:tcW w:w="4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535A53" w:rsidRDefault="00535A53" w:rsidP="004F7364">
            <w:pPr>
              <w:rPr>
                <w:sz w:val="20"/>
                <w:szCs w:val="20"/>
                <w:lang w:val="en-US"/>
              </w:rPr>
            </w:pPr>
            <w:r w:rsidRPr="00535A53">
              <w:rPr>
                <w:sz w:val="20"/>
                <w:szCs w:val="20"/>
                <w:lang w:val="en-US"/>
              </w:rPr>
              <w:t xml:space="preserve">Depreciation Charges for the </w:t>
            </w:r>
            <w:r>
              <w:rPr>
                <w:sz w:val="20"/>
                <w:szCs w:val="20"/>
                <w:lang w:val="en-US"/>
              </w:rPr>
              <w:t>Year</w:t>
            </w:r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535A53" w:rsidP="004F7364">
            <w:pPr>
              <w:rPr>
                <w:sz w:val="20"/>
                <w:szCs w:val="20"/>
              </w:rPr>
            </w:pPr>
            <w:r w:rsidRPr="005B090E">
              <w:rPr>
                <w:sz w:val="20"/>
                <w:szCs w:val="20"/>
                <w:lang w:val="en-US"/>
              </w:rPr>
              <w:t xml:space="preserve">Depreciation and </w:t>
            </w:r>
            <w:proofErr w:type="spellStart"/>
            <w:r w:rsidRPr="005B090E">
              <w:rPr>
                <w:sz w:val="20"/>
                <w:szCs w:val="20"/>
                <w:lang w:val="en-US"/>
              </w:rPr>
              <w:t>Amortiza</w:t>
            </w:r>
            <w:r>
              <w:rPr>
                <w:sz w:val="20"/>
                <w:szCs w:val="20"/>
              </w:rPr>
              <w:t>tion</w:t>
            </w:r>
            <w:proofErr w:type="spellEnd"/>
          </w:p>
        </w:tc>
      </w:tr>
      <w:tr w:rsidR="00064832" w:rsidRPr="0048065E" w:rsidTr="004A0030">
        <w:tc>
          <w:tcPr>
            <w:tcW w:w="4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535A53" w:rsidP="004F7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Taxes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Levies</w:t>
            </w:r>
            <w:proofErr w:type="spellEnd"/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E4569A" w:rsidRDefault="00535A53" w:rsidP="00E4569A">
            <w:pPr>
              <w:rPr>
                <w:sz w:val="20"/>
                <w:szCs w:val="20"/>
                <w:lang w:val="en-US"/>
              </w:rPr>
            </w:pPr>
            <w:r w:rsidRPr="00E4569A">
              <w:rPr>
                <w:sz w:val="20"/>
                <w:szCs w:val="20"/>
                <w:lang w:val="en-US"/>
              </w:rPr>
              <w:t xml:space="preserve">Taxes and Levies </w:t>
            </w:r>
            <w:r w:rsidR="00064832" w:rsidRPr="00E4569A">
              <w:rPr>
                <w:sz w:val="20"/>
                <w:szCs w:val="20"/>
                <w:lang w:val="en-US"/>
              </w:rPr>
              <w:t>N</w:t>
            </w:r>
            <w:r w:rsidRPr="00E4569A">
              <w:rPr>
                <w:sz w:val="20"/>
                <w:szCs w:val="20"/>
                <w:lang w:val="en-US"/>
              </w:rPr>
              <w:t xml:space="preserve">ot Incidents on </w:t>
            </w:r>
            <w:r w:rsidR="00E4569A" w:rsidRPr="00E4569A">
              <w:rPr>
                <w:sz w:val="20"/>
                <w:szCs w:val="20"/>
                <w:lang w:val="en-US"/>
              </w:rPr>
              <w:t>the Income</w:t>
            </w:r>
          </w:p>
        </w:tc>
      </w:tr>
      <w:tr w:rsidR="00064832" w:rsidRPr="0048065E" w:rsidTr="004A0030">
        <w:tc>
          <w:tcPr>
            <w:tcW w:w="4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064832" w:rsidP="00535A53">
            <w:pPr>
              <w:rPr>
                <w:sz w:val="20"/>
                <w:szCs w:val="20"/>
              </w:rPr>
            </w:pPr>
            <w:proofErr w:type="spellStart"/>
            <w:r w:rsidRPr="00D15924">
              <w:rPr>
                <w:sz w:val="20"/>
                <w:szCs w:val="20"/>
              </w:rPr>
              <w:t>O</w:t>
            </w:r>
            <w:r w:rsidR="00535A53">
              <w:rPr>
                <w:sz w:val="20"/>
                <w:szCs w:val="20"/>
              </w:rPr>
              <w:t>ther</w:t>
            </w:r>
            <w:proofErr w:type="spellEnd"/>
            <w:r w:rsidR="00535A53">
              <w:rPr>
                <w:sz w:val="20"/>
                <w:szCs w:val="20"/>
              </w:rPr>
              <w:t xml:space="preserve"> Income </w:t>
            </w:r>
            <w:proofErr w:type="spellStart"/>
            <w:r w:rsidR="00535A53">
              <w:rPr>
                <w:sz w:val="20"/>
                <w:szCs w:val="20"/>
              </w:rPr>
              <w:t>and</w:t>
            </w:r>
            <w:proofErr w:type="spellEnd"/>
            <w:r w:rsidR="00535A53">
              <w:rPr>
                <w:sz w:val="20"/>
                <w:szCs w:val="20"/>
              </w:rPr>
              <w:t xml:space="preserve"> </w:t>
            </w:r>
            <w:proofErr w:type="spellStart"/>
            <w:r w:rsidR="00AC351A">
              <w:rPr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E4569A" w:rsidRDefault="00064832" w:rsidP="00E4569A">
            <w:pPr>
              <w:rPr>
                <w:sz w:val="20"/>
                <w:szCs w:val="20"/>
                <w:lang w:val="en-US"/>
              </w:rPr>
            </w:pPr>
            <w:r w:rsidRPr="00E4569A">
              <w:rPr>
                <w:sz w:val="20"/>
                <w:szCs w:val="20"/>
                <w:lang w:val="en-US"/>
              </w:rPr>
              <w:t>O</w:t>
            </w:r>
            <w:r w:rsidR="00E4569A" w:rsidRPr="00E4569A">
              <w:rPr>
                <w:sz w:val="20"/>
                <w:szCs w:val="20"/>
                <w:lang w:val="en-US"/>
              </w:rPr>
              <w:t xml:space="preserve">ther Operating Income and </w:t>
            </w:r>
            <w:r w:rsidR="00AC351A">
              <w:rPr>
                <w:sz w:val="20"/>
                <w:szCs w:val="20"/>
                <w:lang w:val="en-US"/>
              </w:rPr>
              <w:t>Expenses</w:t>
            </w:r>
          </w:p>
        </w:tc>
      </w:tr>
      <w:tr w:rsidR="00064832" w:rsidRPr="0048065E" w:rsidTr="004A0030">
        <w:tc>
          <w:tcPr>
            <w:tcW w:w="4898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064832" w:rsidP="004F7364">
            <w:pPr>
              <w:rPr>
                <w:sz w:val="20"/>
                <w:szCs w:val="20"/>
              </w:rPr>
            </w:pPr>
            <w:proofErr w:type="spellStart"/>
            <w:r w:rsidRPr="00D15924">
              <w:rPr>
                <w:sz w:val="20"/>
                <w:szCs w:val="20"/>
              </w:rPr>
              <w:lastRenderedPageBreak/>
              <w:t>Provis</w:t>
            </w:r>
            <w:r w:rsidR="00535A53">
              <w:rPr>
                <w:sz w:val="20"/>
                <w:szCs w:val="20"/>
              </w:rPr>
              <w:t>ions</w:t>
            </w:r>
            <w:proofErr w:type="spellEnd"/>
            <w:r w:rsidR="00535A53">
              <w:rPr>
                <w:sz w:val="20"/>
                <w:szCs w:val="20"/>
              </w:rPr>
              <w:t xml:space="preserve"> for </w:t>
            </w:r>
            <w:proofErr w:type="spellStart"/>
            <w:r w:rsidR="00535A53">
              <w:rPr>
                <w:sz w:val="20"/>
                <w:szCs w:val="20"/>
              </w:rPr>
              <w:t>the</w:t>
            </w:r>
            <w:proofErr w:type="spellEnd"/>
            <w:r w:rsidR="00535A53">
              <w:rPr>
                <w:sz w:val="20"/>
                <w:szCs w:val="20"/>
              </w:rPr>
              <w:t xml:space="preserve"> </w:t>
            </w:r>
            <w:proofErr w:type="spellStart"/>
            <w:r w:rsidR="00535A53">
              <w:rPr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E65295" w:rsidRDefault="00E65295" w:rsidP="00E65295">
            <w:pPr>
              <w:rPr>
                <w:sz w:val="20"/>
                <w:szCs w:val="20"/>
                <w:lang w:val="en-US"/>
              </w:rPr>
            </w:pPr>
            <w:r w:rsidRPr="00E65295">
              <w:rPr>
                <w:sz w:val="20"/>
                <w:szCs w:val="20"/>
                <w:lang w:val="en-US"/>
              </w:rPr>
              <w:t xml:space="preserve">Provisions for Bad Debt and </w:t>
            </w:r>
            <w:r>
              <w:rPr>
                <w:sz w:val="20"/>
                <w:szCs w:val="20"/>
                <w:lang w:val="en-US"/>
              </w:rPr>
              <w:t>Provisions of Guarantees</w:t>
            </w:r>
          </w:p>
        </w:tc>
      </w:tr>
      <w:tr w:rsidR="00064832" w:rsidRPr="0048065E" w:rsidTr="004A0030">
        <w:tc>
          <w:tcPr>
            <w:tcW w:w="4898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E65295" w:rsidRDefault="00064832" w:rsidP="004F736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E65295" w:rsidRDefault="00E65295" w:rsidP="004F7364">
            <w:pPr>
              <w:rPr>
                <w:sz w:val="20"/>
                <w:szCs w:val="20"/>
                <w:lang w:val="en-US"/>
              </w:rPr>
            </w:pPr>
            <w:r w:rsidRPr="00E65295">
              <w:rPr>
                <w:sz w:val="20"/>
                <w:szCs w:val="20"/>
                <w:lang w:val="en-US"/>
              </w:rPr>
              <w:t xml:space="preserve">Specific Provisions for Losses related </w:t>
            </w:r>
            <w:r>
              <w:rPr>
                <w:sz w:val="20"/>
                <w:szCs w:val="20"/>
                <w:lang w:val="en-US"/>
              </w:rPr>
              <w:t xml:space="preserve">to Commercial </w:t>
            </w:r>
            <w:r w:rsidR="004A0030">
              <w:rPr>
                <w:sz w:val="20"/>
                <w:szCs w:val="20"/>
                <w:lang w:val="en-US"/>
              </w:rPr>
              <w:t>and Industrial Inventories</w:t>
            </w:r>
          </w:p>
        </w:tc>
      </w:tr>
      <w:tr w:rsidR="00064832" w:rsidRPr="0048065E" w:rsidTr="004A0030">
        <w:tc>
          <w:tcPr>
            <w:tcW w:w="4898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E65295" w:rsidRDefault="00064832" w:rsidP="004F736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4A0030" w:rsidRDefault="004A0030" w:rsidP="004F7364">
            <w:pPr>
              <w:rPr>
                <w:sz w:val="20"/>
                <w:szCs w:val="20"/>
                <w:lang w:val="en-US"/>
              </w:rPr>
            </w:pPr>
            <w:r w:rsidRPr="00E4569A">
              <w:rPr>
                <w:sz w:val="20"/>
                <w:szCs w:val="20"/>
                <w:lang w:val="en-US"/>
              </w:rPr>
              <w:t xml:space="preserve">Provisions for Other Values and Probable </w:t>
            </w:r>
            <w:r>
              <w:rPr>
                <w:sz w:val="20"/>
                <w:szCs w:val="20"/>
                <w:lang w:val="en-US"/>
              </w:rPr>
              <w:t>Liabilities</w:t>
            </w:r>
          </w:p>
        </w:tc>
      </w:tr>
      <w:tr w:rsidR="00064832" w:rsidRPr="00D15924" w:rsidTr="004A0030">
        <w:tc>
          <w:tcPr>
            <w:tcW w:w="4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064832" w:rsidP="004A0030">
            <w:pPr>
              <w:rPr>
                <w:b/>
                <w:sz w:val="20"/>
                <w:szCs w:val="20"/>
              </w:rPr>
            </w:pPr>
            <w:proofErr w:type="spellStart"/>
            <w:r w:rsidRPr="00D15924">
              <w:rPr>
                <w:b/>
                <w:sz w:val="20"/>
                <w:szCs w:val="20"/>
              </w:rPr>
              <w:t>Opera</w:t>
            </w:r>
            <w:r w:rsidR="00E4569A">
              <w:rPr>
                <w:b/>
                <w:sz w:val="20"/>
                <w:szCs w:val="20"/>
              </w:rPr>
              <w:t>ting</w:t>
            </w:r>
            <w:proofErr w:type="spellEnd"/>
            <w:r w:rsidR="00535A53" w:rsidRPr="00D159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A0030">
              <w:rPr>
                <w:b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E4569A" w:rsidP="00E456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Operating</w:t>
            </w:r>
            <w:proofErr w:type="spellEnd"/>
            <w:r>
              <w:rPr>
                <w:b/>
                <w:sz w:val="20"/>
                <w:szCs w:val="20"/>
              </w:rPr>
              <w:t xml:space="preserve"> Income</w:t>
            </w:r>
          </w:p>
        </w:tc>
      </w:tr>
      <w:tr w:rsidR="00064832" w:rsidRPr="00D15924" w:rsidTr="004A0030">
        <w:tc>
          <w:tcPr>
            <w:tcW w:w="4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535A53" w:rsidP="004A003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Extraordinary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A0030">
              <w:rPr>
                <w:b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D15924" w:rsidRDefault="00E4569A" w:rsidP="00E456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</w:t>
            </w:r>
            <w:proofErr w:type="spellStart"/>
            <w:r>
              <w:rPr>
                <w:b/>
                <w:sz w:val="20"/>
                <w:szCs w:val="20"/>
              </w:rPr>
              <w:t>Operating</w:t>
            </w:r>
            <w:proofErr w:type="spellEnd"/>
            <w:r>
              <w:rPr>
                <w:b/>
                <w:sz w:val="20"/>
                <w:szCs w:val="20"/>
              </w:rPr>
              <w:t xml:space="preserve"> Income</w:t>
            </w:r>
          </w:p>
        </w:tc>
      </w:tr>
      <w:tr w:rsidR="00064832" w:rsidRPr="0048065E" w:rsidTr="004A0030">
        <w:tc>
          <w:tcPr>
            <w:tcW w:w="4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535A53" w:rsidRDefault="00535A53" w:rsidP="00535A5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Net </w:t>
            </w:r>
            <w:r w:rsidRPr="00535A53">
              <w:rPr>
                <w:b/>
                <w:sz w:val="20"/>
                <w:szCs w:val="20"/>
                <w:lang w:val="en-US"/>
              </w:rPr>
              <w:t>Income before Tax and Ot</w:t>
            </w:r>
            <w:r>
              <w:rPr>
                <w:b/>
                <w:sz w:val="20"/>
                <w:szCs w:val="20"/>
                <w:lang w:val="en-US"/>
              </w:rPr>
              <w:t>her</w:t>
            </w:r>
            <w:r w:rsidRPr="00535A53">
              <w:rPr>
                <w:b/>
                <w:sz w:val="20"/>
                <w:szCs w:val="20"/>
                <w:lang w:val="en-US"/>
              </w:rPr>
              <w:t xml:space="preserve"> Charges</w:t>
            </w:r>
          </w:p>
        </w:tc>
        <w:tc>
          <w:tcPr>
            <w:tcW w:w="38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64832" w:rsidRPr="00E4569A" w:rsidRDefault="00E4569A" w:rsidP="004F7364">
            <w:pPr>
              <w:rPr>
                <w:b/>
                <w:sz w:val="20"/>
                <w:szCs w:val="20"/>
                <w:lang w:val="en-US"/>
              </w:rPr>
            </w:pPr>
            <w:r w:rsidRPr="00E4569A">
              <w:rPr>
                <w:b/>
                <w:sz w:val="20"/>
                <w:szCs w:val="20"/>
                <w:lang w:val="en-US"/>
              </w:rPr>
              <w:t>Net Income before Tax and</w:t>
            </w:r>
            <w:r>
              <w:rPr>
                <w:b/>
                <w:sz w:val="20"/>
                <w:szCs w:val="20"/>
                <w:lang w:val="en-US"/>
              </w:rPr>
              <w:t xml:space="preserve"> Other Charges</w:t>
            </w:r>
          </w:p>
        </w:tc>
      </w:tr>
      <w:tr w:rsidR="00064832" w:rsidRPr="00D15924" w:rsidTr="004A0030">
        <w:tc>
          <w:tcPr>
            <w:tcW w:w="4898" w:type="dxa"/>
            <w:tcBorders>
              <w:top w:val="single" w:sz="4" w:space="0" w:color="BFBFBF" w:themeColor="background1" w:themeShade="BF"/>
            </w:tcBorders>
            <w:vAlign w:val="center"/>
          </w:tcPr>
          <w:p w:rsidR="00064832" w:rsidRPr="00D15924" w:rsidRDefault="004A0030" w:rsidP="004A003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Provision</w:t>
            </w:r>
            <w:proofErr w:type="spellEnd"/>
            <w:r>
              <w:rPr>
                <w:b/>
                <w:sz w:val="20"/>
                <w:szCs w:val="20"/>
              </w:rPr>
              <w:t xml:space="preserve"> for Industrial </w:t>
            </w:r>
            <w:proofErr w:type="spellStart"/>
            <w:r w:rsidR="00E4569A">
              <w:rPr>
                <w:b/>
                <w:sz w:val="20"/>
                <w:szCs w:val="20"/>
              </w:rPr>
              <w:t>Tax</w:t>
            </w:r>
            <w:proofErr w:type="spellEnd"/>
          </w:p>
        </w:tc>
        <w:tc>
          <w:tcPr>
            <w:tcW w:w="3822" w:type="dxa"/>
            <w:tcBorders>
              <w:top w:val="single" w:sz="4" w:space="0" w:color="BFBFBF" w:themeColor="background1" w:themeShade="BF"/>
            </w:tcBorders>
            <w:vAlign w:val="center"/>
          </w:tcPr>
          <w:p w:rsidR="00064832" w:rsidRPr="00D15924" w:rsidRDefault="00E4569A" w:rsidP="00E456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Charges </w:t>
            </w:r>
            <w:proofErr w:type="spellStart"/>
            <w:r>
              <w:rPr>
                <w:b/>
                <w:sz w:val="20"/>
                <w:szCs w:val="20"/>
              </w:rPr>
              <w:t>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Current</w:t>
            </w:r>
            <w:proofErr w:type="spellEnd"/>
            <w:r>
              <w:rPr>
                <w:b/>
                <w:sz w:val="20"/>
                <w:szCs w:val="20"/>
              </w:rPr>
              <w:t xml:space="preserve"> Income</w:t>
            </w:r>
          </w:p>
        </w:tc>
      </w:tr>
    </w:tbl>
    <w:p w:rsidR="007F7651" w:rsidRDefault="007F7651" w:rsidP="00064832"/>
    <w:sectPr w:rsidR="007F7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8C" w:rsidRDefault="004B028C" w:rsidP="00064832">
      <w:pPr>
        <w:spacing w:line="240" w:lineRule="auto"/>
      </w:pPr>
      <w:r>
        <w:separator/>
      </w:r>
    </w:p>
  </w:endnote>
  <w:endnote w:type="continuationSeparator" w:id="0">
    <w:p w:rsidR="004B028C" w:rsidRDefault="004B028C" w:rsidP="00064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8C" w:rsidRDefault="004B028C" w:rsidP="00064832">
      <w:pPr>
        <w:spacing w:line="240" w:lineRule="auto"/>
      </w:pPr>
      <w:r>
        <w:separator/>
      </w:r>
    </w:p>
  </w:footnote>
  <w:footnote w:type="continuationSeparator" w:id="0">
    <w:p w:rsidR="004B028C" w:rsidRDefault="004B028C" w:rsidP="00064832">
      <w:pPr>
        <w:spacing w:line="240" w:lineRule="auto"/>
      </w:pPr>
      <w:r>
        <w:continuationSeparator/>
      </w:r>
    </w:p>
  </w:footnote>
  <w:footnote w:id="1">
    <w:p w:rsidR="00064832" w:rsidRPr="0086792D" w:rsidRDefault="00064832" w:rsidP="00064832">
      <w:pPr>
        <w:pStyle w:val="Textodenotaderodap"/>
        <w:spacing w:line="360" w:lineRule="auto"/>
        <w:rPr>
          <w:rFonts w:ascii="HelveticaNeueLT Std Lt" w:hAnsi="HelveticaNeueLT Std Lt"/>
          <w:sz w:val="16"/>
          <w:szCs w:val="16"/>
          <w:lang w:val="en-US"/>
        </w:rPr>
      </w:pPr>
      <w:r w:rsidRPr="00064832">
        <w:rPr>
          <w:rStyle w:val="Refdenotaderodap"/>
          <w:rFonts w:ascii="HelveticaNeueLT Std Lt" w:hAnsi="HelveticaNeueLT Std Lt"/>
          <w:sz w:val="16"/>
          <w:szCs w:val="16"/>
        </w:rPr>
        <w:footnoteRef/>
      </w:r>
      <w:r w:rsidRPr="0086792D">
        <w:rPr>
          <w:rFonts w:ascii="HelveticaNeueLT Std Lt" w:hAnsi="HelveticaNeueLT Std Lt"/>
          <w:sz w:val="16"/>
          <w:szCs w:val="16"/>
          <w:lang w:val="en-US"/>
        </w:rPr>
        <w:t xml:space="preserve"> </w:t>
      </w:r>
      <w:r w:rsidR="003E6F9E" w:rsidRPr="0086792D">
        <w:rPr>
          <w:rFonts w:ascii="HelveticaNeueLT Std Lt" w:hAnsi="HelveticaNeueLT Std Lt"/>
          <w:sz w:val="16"/>
          <w:szCs w:val="16"/>
          <w:lang w:val="en-US"/>
        </w:rPr>
        <w:t xml:space="preserve">The same cannot be said of the Regulatory </w:t>
      </w:r>
      <w:r w:rsidR="0086792D" w:rsidRPr="0086792D">
        <w:rPr>
          <w:rFonts w:ascii="HelveticaNeueLT Std Lt" w:hAnsi="HelveticaNeueLT Std Lt"/>
          <w:sz w:val="16"/>
          <w:szCs w:val="16"/>
          <w:lang w:val="en-US"/>
        </w:rPr>
        <w:t xml:space="preserve">Capital </w:t>
      </w:r>
      <w:r w:rsidRPr="0086792D">
        <w:rPr>
          <w:rFonts w:ascii="HelveticaNeueLT Std Lt" w:hAnsi="HelveticaNeueLT Std Lt"/>
          <w:sz w:val="16"/>
          <w:szCs w:val="16"/>
          <w:lang w:val="en-US"/>
        </w:rPr>
        <w:t xml:space="preserve"> (FPR), </w:t>
      </w:r>
      <w:r w:rsidR="0086792D" w:rsidRPr="0086792D">
        <w:rPr>
          <w:rFonts w:ascii="HelveticaNeueLT Std Lt" w:hAnsi="HelveticaNeueLT Std Lt"/>
          <w:sz w:val="16"/>
          <w:szCs w:val="16"/>
          <w:lang w:val="en-US"/>
        </w:rPr>
        <w:t xml:space="preserve">were this change had </w:t>
      </w:r>
      <w:r w:rsidR="0086792D">
        <w:rPr>
          <w:rFonts w:ascii="HelveticaNeueLT Std Lt" w:hAnsi="HelveticaNeueLT Std Lt"/>
          <w:sz w:val="16"/>
          <w:szCs w:val="16"/>
          <w:lang w:val="en-US"/>
        </w:rPr>
        <w:t>an</w:t>
      </w:r>
      <w:r w:rsidR="0086792D" w:rsidRPr="0086792D">
        <w:rPr>
          <w:rFonts w:ascii="HelveticaNeueLT Std Lt" w:hAnsi="HelveticaNeueLT Std Lt"/>
          <w:sz w:val="16"/>
          <w:szCs w:val="16"/>
          <w:lang w:val="en-US"/>
        </w:rPr>
        <w:t xml:space="preserve"> impact for all banks due to the reclassification of works in rented buildings of tangible ass</w:t>
      </w:r>
      <w:r w:rsidR="0086792D">
        <w:rPr>
          <w:rFonts w:ascii="HelveticaNeueLT Std Lt" w:hAnsi="HelveticaNeueLT Std Lt"/>
          <w:sz w:val="16"/>
          <w:szCs w:val="16"/>
          <w:lang w:val="en-US"/>
        </w:rPr>
        <w:t>et</w:t>
      </w:r>
      <w:r w:rsidR="0086792D" w:rsidRPr="0086792D">
        <w:rPr>
          <w:rFonts w:ascii="HelveticaNeueLT Std Lt" w:hAnsi="HelveticaNeueLT Std Lt"/>
          <w:sz w:val="16"/>
          <w:szCs w:val="16"/>
          <w:lang w:val="en-US"/>
        </w:rPr>
        <w:t>s to intangible (intangible assets are to</w:t>
      </w:r>
      <w:r w:rsidR="0086792D">
        <w:rPr>
          <w:rFonts w:ascii="HelveticaNeueLT Std Lt" w:hAnsi="HelveticaNeueLT Std Lt"/>
          <w:sz w:val="16"/>
          <w:szCs w:val="16"/>
          <w:lang w:val="en-US"/>
        </w:rPr>
        <w:t xml:space="preserve"> be deducted in the calculation of FPR as it is an asset without quality from a prudential point of view</w:t>
      </w:r>
      <w:r w:rsidRPr="0086792D">
        <w:rPr>
          <w:rFonts w:ascii="HelveticaNeueLT Std Lt" w:hAnsi="HelveticaNeueLT Std Lt"/>
          <w:sz w:val="16"/>
          <w:szCs w:val="16"/>
          <w:lang w:val="en-US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3FA"/>
    <w:multiLevelType w:val="hybridMultilevel"/>
    <w:tmpl w:val="3362C52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196012"/>
    <w:multiLevelType w:val="hybridMultilevel"/>
    <w:tmpl w:val="FCE21D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32"/>
    <w:rsid w:val="000005C0"/>
    <w:rsid w:val="00064832"/>
    <w:rsid w:val="000B011C"/>
    <w:rsid w:val="00102D82"/>
    <w:rsid w:val="002B0396"/>
    <w:rsid w:val="00363100"/>
    <w:rsid w:val="003D3CB6"/>
    <w:rsid w:val="003E6F9E"/>
    <w:rsid w:val="0048065E"/>
    <w:rsid w:val="004A0030"/>
    <w:rsid w:val="004B028C"/>
    <w:rsid w:val="00535A53"/>
    <w:rsid w:val="005B090E"/>
    <w:rsid w:val="005E48CC"/>
    <w:rsid w:val="006F5088"/>
    <w:rsid w:val="00794197"/>
    <w:rsid w:val="007D7C17"/>
    <w:rsid w:val="007F7651"/>
    <w:rsid w:val="0081192D"/>
    <w:rsid w:val="00845343"/>
    <w:rsid w:val="0086792D"/>
    <w:rsid w:val="009049D4"/>
    <w:rsid w:val="00956D40"/>
    <w:rsid w:val="00977E2D"/>
    <w:rsid w:val="00AC351A"/>
    <w:rsid w:val="00C23265"/>
    <w:rsid w:val="00C26E62"/>
    <w:rsid w:val="00CE106D"/>
    <w:rsid w:val="00DD5231"/>
    <w:rsid w:val="00E4569A"/>
    <w:rsid w:val="00E65295"/>
    <w:rsid w:val="00EA5C59"/>
    <w:rsid w:val="00EB3818"/>
    <w:rsid w:val="00F77F50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32"/>
    <w:pPr>
      <w:spacing w:after="0" w:line="360" w:lineRule="auto"/>
      <w:jc w:val="both"/>
    </w:pPr>
    <w:rPr>
      <w:rFonts w:ascii="HelveticaNeueLT Std Lt" w:eastAsiaTheme="minorEastAsia" w:hAnsi="HelveticaNeueLT Std Lt"/>
      <w:lang w:eastAsia="pt-PT"/>
    </w:rPr>
  </w:style>
  <w:style w:type="paragraph" w:styleId="Cabealho2">
    <w:name w:val="heading 2"/>
    <w:basedOn w:val="Normal"/>
    <w:next w:val="Normal"/>
    <w:link w:val="Cabealho2Carcter1"/>
    <w:uiPriority w:val="9"/>
    <w:unhideWhenUsed/>
    <w:qFormat/>
    <w:rsid w:val="00064832"/>
    <w:pPr>
      <w:keepNext/>
      <w:keepLines/>
      <w:spacing w:before="200"/>
      <w:outlineLvl w:val="1"/>
    </w:pPr>
    <w:rPr>
      <w:rFonts w:eastAsiaTheme="majorEastAsia" w:cstheme="majorBidi"/>
      <w:b/>
      <w:bCs/>
      <w:color w:val="D81F2A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uiPriority w:val="9"/>
    <w:semiHidden/>
    <w:rsid w:val="00064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064832"/>
    <w:rPr>
      <w:rFonts w:asciiTheme="majorHAnsi" w:eastAsiaTheme="minorEastAsia" w:hAnsiTheme="majorHAnsi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nhideWhenUsed/>
    <w:rsid w:val="00064832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064832"/>
    <w:pPr>
      <w:keepNext/>
    </w:pPr>
    <w:rPr>
      <w:b/>
      <w:bCs/>
      <w:noProof/>
      <w:szCs w:val="18"/>
    </w:rPr>
  </w:style>
  <w:style w:type="paragraph" w:styleId="PargrafodaLista">
    <w:name w:val="List Paragraph"/>
    <w:basedOn w:val="Normal"/>
    <w:uiPriority w:val="34"/>
    <w:qFormat/>
    <w:rsid w:val="00064832"/>
    <w:pPr>
      <w:ind w:left="720"/>
      <w:contextualSpacing/>
    </w:pPr>
  </w:style>
  <w:style w:type="character" w:customStyle="1" w:styleId="Cabealho2Carcter1">
    <w:name w:val="Cabeçalho 2 Carácter1"/>
    <w:basedOn w:val="Tipodeletrapredefinidodopargrafo"/>
    <w:link w:val="Cabealho2"/>
    <w:uiPriority w:val="9"/>
    <w:rsid w:val="00064832"/>
    <w:rPr>
      <w:rFonts w:ascii="HelveticaNeueLT Std Lt" w:eastAsiaTheme="majorEastAsia" w:hAnsi="HelveticaNeueLT Std Lt" w:cstheme="majorBidi"/>
      <w:b/>
      <w:bCs/>
      <w:color w:val="D81F2A"/>
      <w:sz w:val="26"/>
      <w:szCs w:val="26"/>
      <w:lang w:eastAsia="pt-PT"/>
    </w:rPr>
  </w:style>
  <w:style w:type="table" w:styleId="Tabelacomgrelha">
    <w:name w:val="Table Grid"/>
    <w:basedOn w:val="Tabelanormal"/>
    <w:uiPriority w:val="59"/>
    <w:rsid w:val="00064832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unhideWhenUsed/>
    <w:rsid w:val="00064832"/>
    <w:pPr>
      <w:spacing w:line="240" w:lineRule="auto"/>
    </w:pPr>
    <w:rPr>
      <w:rFonts w:asciiTheme="majorHAnsi" w:hAnsiTheme="majorHAnsi"/>
      <w:sz w:val="20"/>
      <w:szCs w:val="20"/>
    </w:rPr>
  </w:style>
  <w:style w:type="character" w:customStyle="1" w:styleId="TextodenotaderodapCarcter1">
    <w:name w:val="Texto de nota de rodapé Carácter1"/>
    <w:basedOn w:val="Tipodeletrapredefinidodopargrafo"/>
    <w:uiPriority w:val="99"/>
    <w:semiHidden/>
    <w:rsid w:val="00064832"/>
    <w:rPr>
      <w:rFonts w:ascii="HelveticaNeueLT Std Lt" w:eastAsiaTheme="minorEastAsia" w:hAnsi="HelveticaNeueLT Std Lt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32"/>
    <w:pPr>
      <w:spacing w:after="0" w:line="360" w:lineRule="auto"/>
      <w:jc w:val="both"/>
    </w:pPr>
    <w:rPr>
      <w:rFonts w:ascii="HelveticaNeueLT Std Lt" w:eastAsiaTheme="minorEastAsia" w:hAnsi="HelveticaNeueLT Std Lt"/>
      <w:lang w:eastAsia="pt-PT"/>
    </w:rPr>
  </w:style>
  <w:style w:type="paragraph" w:styleId="Cabealho2">
    <w:name w:val="heading 2"/>
    <w:basedOn w:val="Normal"/>
    <w:next w:val="Normal"/>
    <w:link w:val="Cabealho2Carcter1"/>
    <w:uiPriority w:val="9"/>
    <w:unhideWhenUsed/>
    <w:qFormat/>
    <w:rsid w:val="00064832"/>
    <w:pPr>
      <w:keepNext/>
      <w:keepLines/>
      <w:spacing w:before="200"/>
      <w:outlineLvl w:val="1"/>
    </w:pPr>
    <w:rPr>
      <w:rFonts w:eastAsiaTheme="majorEastAsia" w:cstheme="majorBidi"/>
      <w:b/>
      <w:bCs/>
      <w:color w:val="D81F2A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uiPriority w:val="9"/>
    <w:semiHidden/>
    <w:rsid w:val="00064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064832"/>
    <w:rPr>
      <w:rFonts w:asciiTheme="majorHAnsi" w:eastAsiaTheme="minorEastAsia" w:hAnsiTheme="majorHAnsi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nhideWhenUsed/>
    <w:rsid w:val="00064832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064832"/>
    <w:pPr>
      <w:keepNext/>
    </w:pPr>
    <w:rPr>
      <w:b/>
      <w:bCs/>
      <w:noProof/>
      <w:szCs w:val="18"/>
    </w:rPr>
  </w:style>
  <w:style w:type="paragraph" w:styleId="PargrafodaLista">
    <w:name w:val="List Paragraph"/>
    <w:basedOn w:val="Normal"/>
    <w:uiPriority w:val="34"/>
    <w:qFormat/>
    <w:rsid w:val="00064832"/>
    <w:pPr>
      <w:ind w:left="720"/>
      <w:contextualSpacing/>
    </w:pPr>
  </w:style>
  <w:style w:type="character" w:customStyle="1" w:styleId="Cabealho2Carcter1">
    <w:name w:val="Cabeçalho 2 Carácter1"/>
    <w:basedOn w:val="Tipodeletrapredefinidodopargrafo"/>
    <w:link w:val="Cabealho2"/>
    <w:uiPriority w:val="9"/>
    <w:rsid w:val="00064832"/>
    <w:rPr>
      <w:rFonts w:ascii="HelveticaNeueLT Std Lt" w:eastAsiaTheme="majorEastAsia" w:hAnsi="HelveticaNeueLT Std Lt" w:cstheme="majorBidi"/>
      <w:b/>
      <w:bCs/>
      <w:color w:val="D81F2A"/>
      <w:sz w:val="26"/>
      <w:szCs w:val="26"/>
      <w:lang w:eastAsia="pt-PT"/>
    </w:rPr>
  </w:style>
  <w:style w:type="table" w:styleId="Tabelacomgrelha">
    <w:name w:val="Table Grid"/>
    <w:basedOn w:val="Tabelanormal"/>
    <w:uiPriority w:val="59"/>
    <w:rsid w:val="00064832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unhideWhenUsed/>
    <w:rsid w:val="00064832"/>
    <w:pPr>
      <w:spacing w:line="240" w:lineRule="auto"/>
    </w:pPr>
    <w:rPr>
      <w:rFonts w:asciiTheme="majorHAnsi" w:hAnsiTheme="majorHAnsi"/>
      <w:sz w:val="20"/>
      <w:szCs w:val="20"/>
    </w:rPr>
  </w:style>
  <w:style w:type="character" w:customStyle="1" w:styleId="TextodenotaderodapCarcter1">
    <w:name w:val="Texto de nota de rodapé Carácter1"/>
    <w:basedOn w:val="Tipodeletrapredefinidodopargrafo"/>
    <w:uiPriority w:val="99"/>
    <w:semiHidden/>
    <w:rsid w:val="00064832"/>
    <w:rPr>
      <w:rFonts w:ascii="HelveticaNeueLT Std Lt" w:eastAsiaTheme="minorEastAsia" w:hAnsi="HelveticaNeueLT Std Lt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3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Niria Oramalu</dc:creator>
  <cp:lastModifiedBy>Niria Oramalu</cp:lastModifiedBy>
  <cp:revision>16</cp:revision>
  <dcterms:created xsi:type="dcterms:W3CDTF">2014-11-07T10:50:00Z</dcterms:created>
  <dcterms:modified xsi:type="dcterms:W3CDTF">2015-03-13T10:14:00Z</dcterms:modified>
</cp:coreProperties>
</file>